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9DA33" w14:textId="77777777" w:rsidR="008E405F" w:rsidRDefault="008E405F" w:rsidP="009A3826">
      <w:pPr>
        <w:spacing w:after="0" w:line="120" w:lineRule="auto"/>
        <w:jc w:val="center"/>
        <w:rPr>
          <w:b/>
          <w:lang w:val="en-US"/>
        </w:rPr>
      </w:pPr>
    </w:p>
    <w:p w14:paraId="70B4B276" w14:textId="290BC093" w:rsidR="008E405F" w:rsidRDefault="003E4562" w:rsidP="008E405F">
      <w:pPr>
        <w:spacing w:after="0" w:line="240" w:lineRule="auto"/>
        <w:rPr>
          <w:rFonts w:ascii="Helvetica LT Std" w:hAnsi="Helvetica LT Std"/>
          <w:b/>
          <w:lang w:val="en-US"/>
        </w:rPr>
      </w:pPr>
      <w:r>
        <w:rPr>
          <w:rFonts w:ascii="Helvetica LT Std" w:hAnsi="Helvetica LT Std"/>
          <w:b/>
          <w:lang w:val="en-US"/>
        </w:rPr>
        <w:t>U</w:t>
      </w:r>
      <w:r w:rsidR="008E405F" w:rsidRPr="00BE5135">
        <w:rPr>
          <w:rFonts w:ascii="Helvetica LT Std" w:hAnsi="Helvetica LT Std"/>
          <w:b/>
          <w:lang w:val="en-US"/>
        </w:rPr>
        <w:t>MAX commentary</w:t>
      </w:r>
      <w:r w:rsidR="008E405F">
        <w:rPr>
          <w:rFonts w:ascii="Helvetica LT Std" w:hAnsi="Helvetica LT Std"/>
          <w:b/>
          <w:lang w:val="en-US"/>
        </w:rPr>
        <w:t xml:space="preserve"> </w:t>
      </w:r>
      <w:r w:rsidR="001752D6">
        <w:rPr>
          <w:rFonts w:ascii="Helvetica LT Std" w:hAnsi="Helvetica LT Std"/>
          <w:b/>
          <w:lang w:val="en-US"/>
        </w:rPr>
        <w:t>–</w:t>
      </w:r>
      <w:r w:rsidR="00BB6C68">
        <w:rPr>
          <w:rFonts w:ascii="Helvetica LT Std" w:hAnsi="Helvetica LT Std"/>
          <w:b/>
          <w:lang w:val="en-US"/>
        </w:rPr>
        <w:t xml:space="preserve">February </w:t>
      </w:r>
      <w:r w:rsidR="005647D3">
        <w:rPr>
          <w:rFonts w:ascii="Helvetica LT Std" w:hAnsi="Helvetica LT Std"/>
          <w:b/>
          <w:lang w:val="en-US"/>
        </w:rPr>
        <w:t xml:space="preserve">2020 </w:t>
      </w:r>
      <w:r w:rsidR="008D36C6">
        <w:rPr>
          <w:rFonts w:ascii="Helvetica LT Std" w:hAnsi="Helvetica LT Std"/>
          <w:b/>
          <w:lang w:val="en-US"/>
        </w:rPr>
        <w:t>(</w:t>
      </w:r>
      <w:r w:rsidR="003E2F9E">
        <w:rPr>
          <w:rFonts w:ascii="Helvetica LT Std" w:hAnsi="Helvetica LT Std"/>
          <w:b/>
          <w:lang w:val="en-US"/>
        </w:rPr>
        <w:t>January</w:t>
      </w:r>
      <w:r w:rsidR="00AE01E6">
        <w:rPr>
          <w:rFonts w:ascii="Helvetica LT Std" w:hAnsi="Helvetica LT Std" w:hint="eastAsia"/>
          <w:b/>
          <w:lang w:val="en-US"/>
        </w:rPr>
        <w:t xml:space="preserve"> </w:t>
      </w:r>
      <w:r w:rsidR="0028159D">
        <w:rPr>
          <w:rFonts w:ascii="Helvetica LT Std" w:hAnsi="Helvetica LT Std"/>
          <w:b/>
          <w:lang w:val="en-US"/>
        </w:rPr>
        <w:t>Option Period)</w:t>
      </w:r>
    </w:p>
    <w:p w14:paraId="5F2F5433" w14:textId="77777777" w:rsidR="00D648F5" w:rsidRDefault="008E405F" w:rsidP="00D1762B">
      <w:pPr>
        <w:spacing w:after="0" w:line="240" w:lineRule="auto"/>
        <w:rPr>
          <w:rFonts w:ascii="Helvetica LT Std" w:hAnsi="Helvetica LT Std"/>
          <w:b/>
          <w:i/>
          <w:lang w:val="en-US"/>
        </w:rPr>
      </w:pPr>
      <w:r>
        <w:rPr>
          <w:rFonts w:ascii="Helvetica LT Std" w:hAnsi="Helvetica LT Std"/>
          <w:b/>
          <w:i/>
          <w:lang w:val="en-US"/>
        </w:rPr>
        <w:t>Adviser Use Only</w:t>
      </w:r>
    </w:p>
    <w:p w14:paraId="35BE01C5" w14:textId="77777777" w:rsidR="00D1762B" w:rsidRPr="00EE5EED" w:rsidRDefault="00D1762B" w:rsidP="00D1762B">
      <w:pPr>
        <w:spacing w:after="0" w:line="180" w:lineRule="auto"/>
        <w:rPr>
          <w:b/>
          <w:sz w:val="20"/>
          <w:szCs w:val="20"/>
          <w:lang w:val="en-US"/>
        </w:rPr>
      </w:pPr>
    </w:p>
    <w:tbl>
      <w:tblPr>
        <w:tblpPr w:leftFromText="180" w:rightFromText="180" w:vertAnchor="text" w:horzAnchor="margin" w:tblpXSpec="right" w:tblpY="37"/>
        <w:tblW w:w="0" w:type="auto"/>
        <w:tblLayout w:type="fixed"/>
        <w:tblLook w:val="0000" w:firstRow="0" w:lastRow="0" w:firstColumn="0" w:lastColumn="0" w:noHBand="0" w:noVBand="0"/>
      </w:tblPr>
      <w:tblGrid>
        <w:gridCol w:w="2331"/>
        <w:gridCol w:w="144"/>
        <w:gridCol w:w="871"/>
      </w:tblGrid>
      <w:tr w:rsidR="00D1762B" w14:paraId="15D435D1" w14:textId="77777777" w:rsidTr="00011132">
        <w:trPr>
          <w:trHeight w:val="250"/>
        </w:trPr>
        <w:tc>
          <w:tcPr>
            <w:tcW w:w="2331" w:type="dxa"/>
            <w:shd w:val="clear" w:color="auto" w:fill="F2F2F2"/>
            <w:vAlign w:val="center"/>
          </w:tcPr>
          <w:p w14:paraId="5556A2DB" w14:textId="77777777" w:rsidR="00D1762B" w:rsidRDefault="003E4562" w:rsidP="00D1762B">
            <w:pPr>
              <w:widowControl w:val="0"/>
              <w:spacing w:after="0" w:line="100" w:lineRule="atLeast"/>
              <w:rPr>
                <w:rFonts w:cs="font345"/>
                <w:color w:val="000000"/>
                <w:sz w:val="18"/>
                <w:szCs w:val="18"/>
              </w:rPr>
            </w:pPr>
            <w:r>
              <w:rPr>
                <w:b/>
                <w:color w:val="E36C0A"/>
              </w:rPr>
              <w:t>U</w:t>
            </w:r>
            <w:r w:rsidR="00D1762B">
              <w:rPr>
                <w:b/>
                <w:color w:val="E36C0A"/>
              </w:rPr>
              <w:t>MAX: ASX</w:t>
            </w:r>
          </w:p>
        </w:tc>
        <w:tc>
          <w:tcPr>
            <w:tcW w:w="1015" w:type="dxa"/>
            <w:gridSpan w:val="2"/>
            <w:shd w:val="clear" w:color="auto" w:fill="F2F2F2"/>
            <w:vAlign w:val="center"/>
          </w:tcPr>
          <w:p w14:paraId="77B27F8D" w14:textId="77777777" w:rsidR="00D1762B" w:rsidRDefault="00D1762B" w:rsidP="00D1762B">
            <w:pPr>
              <w:widowControl w:val="0"/>
              <w:spacing w:after="0" w:line="100" w:lineRule="atLeast"/>
              <w:rPr>
                <w:rFonts w:cs="font345"/>
                <w:color w:val="000000"/>
                <w:sz w:val="18"/>
                <w:szCs w:val="18"/>
              </w:rPr>
            </w:pPr>
          </w:p>
        </w:tc>
      </w:tr>
      <w:tr w:rsidR="00D1762B" w14:paraId="177DA231" w14:textId="77777777" w:rsidTr="00011132">
        <w:trPr>
          <w:trHeight w:hRule="exact" w:val="102"/>
        </w:trPr>
        <w:tc>
          <w:tcPr>
            <w:tcW w:w="2331" w:type="dxa"/>
            <w:tcBorders>
              <w:bottom w:val="single" w:sz="2" w:space="0" w:color="C0C0C0"/>
            </w:tcBorders>
            <w:shd w:val="clear" w:color="auto" w:fill="auto"/>
          </w:tcPr>
          <w:p w14:paraId="0921547E" w14:textId="77777777" w:rsidR="00D1762B" w:rsidRDefault="00D1762B" w:rsidP="00D1762B">
            <w:pPr>
              <w:widowControl w:val="0"/>
              <w:spacing w:after="0" w:line="100" w:lineRule="atLeast"/>
              <w:rPr>
                <w:rFonts w:cs="font345"/>
                <w:color w:val="244061"/>
                <w:sz w:val="18"/>
                <w:szCs w:val="18"/>
              </w:rPr>
            </w:pPr>
          </w:p>
        </w:tc>
        <w:tc>
          <w:tcPr>
            <w:tcW w:w="1015" w:type="dxa"/>
            <w:gridSpan w:val="2"/>
            <w:tcBorders>
              <w:bottom w:val="single" w:sz="2" w:space="0" w:color="C0C0C0"/>
            </w:tcBorders>
            <w:shd w:val="clear" w:color="auto" w:fill="auto"/>
          </w:tcPr>
          <w:p w14:paraId="5EB316C6" w14:textId="77777777" w:rsidR="00D1762B" w:rsidRDefault="00D1762B" w:rsidP="00D1762B">
            <w:pPr>
              <w:widowControl w:val="0"/>
              <w:spacing w:after="0" w:line="100" w:lineRule="atLeast"/>
              <w:rPr>
                <w:rFonts w:cs="font345"/>
                <w:color w:val="244061"/>
                <w:sz w:val="18"/>
                <w:szCs w:val="18"/>
              </w:rPr>
            </w:pPr>
          </w:p>
        </w:tc>
      </w:tr>
      <w:tr w:rsidR="00CA2011" w14:paraId="6CF8E8C5" w14:textId="77777777" w:rsidTr="00011132">
        <w:trPr>
          <w:trHeight w:val="250"/>
        </w:trPr>
        <w:tc>
          <w:tcPr>
            <w:tcW w:w="2331" w:type="dxa"/>
            <w:tcBorders>
              <w:top w:val="single" w:sz="2" w:space="0" w:color="C0C0C0"/>
              <w:bottom w:val="single" w:sz="2" w:space="0" w:color="C0C0C0"/>
            </w:tcBorders>
            <w:shd w:val="clear" w:color="auto" w:fill="auto"/>
            <w:vAlign w:val="center"/>
          </w:tcPr>
          <w:p w14:paraId="49C3F9BB" w14:textId="77777777" w:rsidR="00CA2011" w:rsidRDefault="00633A46" w:rsidP="00CC64C6">
            <w:pPr>
              <w:widowControl w:val="0"/>
              <w:spacing w:after="0" w:line="100" w:lineRule="atLeast"/>
              <w:rPr>
                <w:color w:val="595959"/>
                <w:sz w:val="18"/>
                <w:szCs w:val="18"/>
              </w:rPr>
            </w:pPr>
            <w:r>
              <w:rPr>
                <w:color w:val="595959"/>
                <w:sz w:val="18"/>
                <w:szCs w:val="18"/>
              </w:rPr>
              <w:t>NAV per unit (</w:t>
            </w:r>
            <w:r w:rsidR="00CC64C6">
              <w:rPr>
                <w:color w:val="595959"/>
                <w:sz w:val="18"/>
                <w:szCs w:val="18"/>
              </w:rPr>
              <w:t>January 17</w:t>
            </w:r>
            <w:r w:rsidR="00CA2011">
              <w:rPr>
                <w:color w:val="595959"/>
                <w:sz w:val="18"/>
                <w:szCs w:val="18"/>
              </w:rPr>
              <w:t>)</w:t>
            </w:r>
          </w:p>
        </w:tc>
        <w:tc>
          <w:tcPr>
            <w:tcW w:w="1015" w:type="dxa"/>
            <w:gridSpan w:val="2"/>
            <w:tcBorders>
              <w:top w:val="single" w:sz="2" w:space="0" w:color="C0C0C0"/>
              <w:bottom w:val="single" w:sz="2" w:space="0" w:color="C0C0C0"/>
            </w:tcBorders>
            <w:shd w:val="clear" w:color="auto" w:fill="auto"/>
            <w:vAlign w:val="center"/>
          </w:tcPr>
          <w:p w14:paraId="7E506328" w14:textId="77777777" w:rsidR="00CA2011" w:rsidRDefault="0047111B" w:rsidP="00CA2011">
            <w:pPr>
              <w:widowControl w:val="0"/>
              <w:spacing w:after="0" w:line="100" w:lineRule="atLeast"/>
              <w:jc w:val="right"/>
            </w:pPr>
            <w:r>
              <w:rPr>
                <w:color w:val="595959"/>
                <w:sz w:val="18"/>
                <w:szCs w:val="18"/>
              </w:rPr>
              <w:t>$</w:t>
            </w:r>
            <w:r w:rsidR="00577AB8" w:rsidRPr="00577AB8">
              <w:rPr>
                <w:color w:val="595959"/>
                <w:sz w:val="18"/>
                <w:szCs w:val="18"/>
              </w:rPr>
              <w:t xml:space="preserve"> </w:t>
            </w:r>
            <w:r w:rsidR="005D2FB4" w:rsidRPr="005D2FB4">
              <w:rPr>
                <w:color w:val="595959"/>
                <w:sz w:val="18"/>
                <w:szCs w:val="18"/>
              </w:rPr>
              <w:t xml:space="preserve"> 21.4132</w:t>
            </w:r>
          </w:p>
        </w:tc>
      </w:tr>
      <w:tr w:rsidR="00CC64C6" w14:paraId="72F668D8" w14:textId="77777777" w:rsidTr="00011132">
        <w:trPr>
          <w:trHeight w:val="250"/>
        </w:trPr>
        <w:tc>
          <w:tcPr>
            <w:tcW w:w="2331" w:type="dxa"/>
            <w:tcBorders>
              <w:top w:val="single" w:sz="2" w:space="0" w:color="C0C0C0"/>
              <w:bottom w:val="single" w:sz="2" w:space="0" w:color="C0C0C0"/>
            </w:tcBorders>
            <w:shd w:val="clear" w:color="auto" w:fill="FFFFFF"/>
            <w:vAlign w:val="center"/>
          </w:tcPr>
          <w:p w14:paraId="2406B57E" w14:textId="77777777" w:rsidR="00CC64C6" w:rsidRDefault="00CC64C6" w:rsidP="00CC64C6">
            <w:pPr>
              <w:widowControl w:val="0"/>
              <w:spacing w:after="0" w:line="100" w:lineRule="atLeast"/>
              <w:rPr>
                <w:color w:val="595959"/>
                <w:sz w:val="18"/>
                <w:szCs w:val="18"/>
              </w:rPr>
            </w:pPr>
            <w:r>
              <w:rPr>
                <w:color w:val="595959"/>
                <w:sz w:val="18"/>
                <w:szCs w:val="18"/>
              </w:rPr>
              <w:t>NAV per unit (December 20)</w:t>
            </w:r>
          </w:p>
        </w:tc>
        <w:tc>
          <w:tcPr>
            <w:tcW w:w="1015" w:type="dxa"/>
            <w:gridSpan w:val="2"/>
            <w:tcBorders>
              <w:top w:val="single" w:sz="2" w:space="0" w:color="C0C0C0"/>
              <w:bottom w:val="single" w:sz="2" w:space="0" w:color="C0C0C0"/>
            </w:tcBorders>
            <w:shd w:val="clear" w:color="auto" w:fill="FFFFFF"/>
            <w:vAlign w:val="center"/>
          </w:tcPr>
          <w:p w14:paraId="306D7A37" w14:textId="77777777" w:rsidR="00CC64C6" w:rsidRDefault="00CC64C6" w:rsidP="00CC64C6">
            <w:pPr>
              <w:widowControl w:val="0"/>
              <w:spacing w:after="0" w:line="100" w:lineRule="atLeast"/>
              <w:jc w:val="right"/>
            </w:pPr>
            <w:r>
              <w:rPr>
                <w:color w:val="595959"/>
                <w:sz w:val="18"/>
                <w:szCs w:val="18"/>
              </w:rPr>
              <w:t>$</w:t>
            </w:r>
            <w:r w:rsidRPr="00577AB8">
              <w:rPr>
                <w:color w:val="595959"/>
                <w:sz w:val="18"/>
                <w:szCs w:val="18"/>
              </w:rPr>
              <w:t xml:space="preserve"> 21.1772</w:t>
            </w:r>
          </w:p>
        </w:tc>
      </w:tr>
      <w:tr w:rsidR="00E561A2" w14:paraId="7CE22A02" w14:textId="77777777" w:rsidTr="00011132">
        <w:trPr>
          <w:trHeight w:val="250"/>
        </w:trPr>
        <w:tc>
          <w:tcPr>
            <w:tcW w:w="2331" w:type="dxa"/>
            <w:tcBorders>
              <w:top w:val="single" w:sz="2" w:space="0" w:color="C0C0C0"/>
              <w:bottom w:val="single" w:sz="2" w:space="0" w:color="C0C0C0"/>
            </w:tcBorders>
            <w:shd w:val="clear" w:color="auto" w:fill="FFFFFF"/>
            <w:vAlign w:val="center"/>
          </w:tcPr>
          <w:p w14:paraId="722110A4" w14:textId="77777777" w:rsidR="00E561A2" w:rsidRDefault="00E561A2" w:rsidP="00E561A2">
            <w:pPr>
              <w:widowControl w:val="0"/>
              <w:spacing w:after="0" w:line="100" w:lineRule="atLeast"/>
              <w:rPr>
                <w:rFonts w:cs="font345"/>
                <w:color w:val="595959"/>
                <w:sz w:val="18"/>
                <w:szCs w:val="18"/>
              </w:rPr>
            </w:pPr>
          </w:p>
        </w:tc>
        <w:tc>
          <w:tcPr>
            <w:tcW w:w="1015" w:type="dxa"/>
            <w:gridSpan w:val="2"/>
            <w:tcBorders>
              <w:top w:val="single" w:sz="2" w:space="0" w:color="C0C0C0"/>
              <w:bottom w:val="single" w:sz="2" w:space="0" w:color="C0C0C0"/>
            </w:tcBorders>
            <w:shd w:val="clear" w:color="auto" w:fill="FFFFFF"/>
            <w:vAlign w:val="center"/>
          </w:tcPr>
          <w:p w14:paraId="79884C40" w14:textId="77777777" w:rsidR="00E561A2" w:rsidRDefault="00E561A2" w:rsidP="00E561A2">
            <w:pPr>
              <w:widowControl w:val="0"/>
              <w:spacing w:after="0" w:line="100" w:lineRule="atLeast"/>
              <w:jc w:val="right"/>
              <w:rPr>
                <w:rFonts w:cs="font345"/>
                <w:color w:val="595959"/>
                <w:sz w:val="18"/>
                <w:szCs w:val="18"/>
              </w:rPr>
            </w:pPr>
          </w:p>
        </w:tc>
      </w:tr>
      <w:tr w:rsidR="00E561A2" w14:paraId="445258AD" w14:textId="77777777" w:rsidTr="00011132">
        <w:trPr>
          <w:trHeight w:val="250"/>
        </w:trPr>
        <w:tc>
          <w:tcPr>
            <w:tcW w:w="3346" w:type="dxa"/>
            <w:gridSpan w:val="3"/>
            <w:tcBorders>
              <w:top w:val="single" w:sz="2" w:space="0" w:color="C0C0C0"/>
              <w:bottom w:val="single" w:sz="2" w:space="0" w:color="C0C0C0"/>
            </w:tcBorders>
            <w:shd w:val="clear" w:color="auto" w:fill="D6E3BC"/>
            <w:vAlign w:val="center"/>
          </w:tcPr>
          <w:p w14:paraId="0B728B30" w14:textId="77777777" w:rsidR="00E561A2" w:rsidRDefault="00CC64C6" w:rsidP="00E561A2">
            <w:pPr>
              <w:widowControl w:val="0"/>
              <w:spacing w:after="0" w:line="100" w:lineRule="atLeast"/>
            </w:pPr>
            <w:r>
              <w:rPr>
                <w:color w:val="595959"/>
                <w:sz w:val="18"/>
                <w:szCs w:val="18"/>
                <w:lang w:eastAsia="zh-CN"/>
              </w:rPr>
              <w:t xml:space="preserve">January </w:t>
            </w:r>
            <w:r w:rsidR="00E561A2">
              <w:rPr>
                <w:color w:val="595959"/>
                <w:sz w:val="18"/>
                <w:szCs w:val="18"/>
              </w:rPr>
              <w:t>Option Period Returns</w:t>
            </w:r>
          </w:p>
        </w:tc>
      </w:tr>
      <w:tr w:rsidR="00E561A2" w14:paraId="6CFF00C1" w14:textId="77777777" w:rsidTr="00011132">
        <w:trPr>
          <w:trHeight w:val="250"/>
        </w:trPr>
        <w:tc>
          <w:tcPr>
            <w:tcW w:w="2475" w:type="dxa"/>
            <w:gridSpan w:val="2"/>
            <w:tcBorders>
              <w:top w:val="single" w:sz="2" w:space="0" w:color="C0C0C0"/>
              <w:bottom w:val="single" w:sz="2" w:space="0" w:color="C0C0C0"/>
            </w:tcBorders>
            <w:shd w:val="clear" w:color="auto" w:fill="auto"/>
            <w:vAlign w:val="center"/>
          </w:tcPr>
          <w:p w14:paraId="2620AD15" w14:textId="77777777" w:rsidR="00E561A2" w:rsidRDefault="00E561A2" w:rsidP="00E561A2">
            <w:pPr>
              <w:widowControl w:val="0"/>
              <w:spacing w:after="0" w:line="100" w:lineRule="atLeast"/>
              <w:rPr>
                <w:color w:val="595959"/>
                <w:sz w:val="18"/>
                <w:szCs w:val="18"/>
              </w:rPr>
            </w:pPr>
            <w:r>
              <w:rPr>
                <w:color w:val="595959"/>
                <w:sz w:val="18"/>
                <w:szCs w:val="18"/>
              </w:rPr>
              <w:t>UMAX Total Return</w:t>
            </w:r>
          </w:p>
        </w:tc>
        <w:tc>
          <w:tcPr>
            <w:tcW w:w="871" w:type="dxa"/>
            <w:tcBorders>
              <w:top w:val="single" w:sz="2" w:space="0" w:color="C0C0C0"/>
              <w:bottom w:val="single" w:sz="2" w:space="0" w:color="C0C0C0"/>
            </w:tcBorders>
            <w:shd w:val="clear" w:color="auto" w:fill="auto"/>
            <w:vAlign w:val="center"/>
          </w:tcPr>
          <w:p w14:paraId="4E9CB600" w14:textId="382B87C1" w:rsidR="00E561A2" w:rsidRDefault="003E2F9E" w:rsidP="00E561A2">
            <w:pPr>
              <w:widowControl w:val="0"/>
              <w:spacing w:after="0" w:line="100" w:lineRule="atLeast"/>
              <w:jc w:val="right"/>
            </w:pPr>
            <w:r>
              <w:rPr>
                <w:color w:val="595959"/>
                <w:sz w:val="18"/>
                <w:szCs w:val="18"/>
              </w:rPr>
              <w:t>2.52</w:t>
            </w:r>
            <w:r w:rsidR="00E561A2">
              <w:rPr>
                <w:color w:val="595959"/>
                <w:sz w:val="18"/>
                <w:szCs w:val="18"/>
              </w:rPr>
              <w:t xml:space="preserve">%  </w:t>
            </w:r>
          </w:p>
        </w:tc>
      </w:tr>
      <w:tr w:rsidR="00E561A2" w14:paraId="0B7932CE" w14:textId="77777777" w:rsidTr="00011132">
        <w:trPr>
          <w:trHeight w:val="250"/>
        </w:trPr>
        <w:tc>
          <w:tcPr>
            <w:tcW w:w="2475" w:type="dxa"/>
            <w:gridSpan w:val="2"/>
            <w:tcBorders>
              <w:top w:val="single" w:sz="2" w:space="0" w:color="C0C0C0"/>
              <w:bottom w:val="single" w:sz="2" w:space="0" w:color="C0C0C0"/>
            </w:tcBorders>
            <w:shd w:val="clear" w:color="auto" w:fill="auto"/>
            <w:vAlign w:val="center"/>
          </w:tcPr>
          <w:p w14:paraId="0DCCD564" w14:textId="77777777" w:rsidR="00E561A2" w:rsidRDefault="00E561A2" w:rsidP="00E561A2">
            <w:pPr>
              <w:widowControl w:val="0"/>
              <w:spacing w:after="0" w:line="100" w:lineRule="atLeast"/>
              <w:rPr>
                <w:color w:val="595959"/>
                <w:sz w:val="18"/>
                <w:szCs w:val="18"/>
              </w:rPr>
            </w:pPr>
            <w:r>
              <w:rPr>
                <w:color w:val="595959"/>
                <w:sz w:val="18"/>
                <w:szCs w:val="18"/>
              </w:rPr>
              <w:t>S&amp;P 500 Total Return</w:t>
            </w:r>
          </w:p>
        </w:tc>
        <w:tc>
          <w:tcPr>
            <w:tcW w:w="871" w:type="dxa"/>
            <w:tcBorders>
              <w:top w:val="single" w:sz="2" w:space="0" w:color="C0C0C0"/>
              <w:bottom w:val="single" w:sz="2" w:space="0" w:color="C0C0C0"/>
            </w:tcBorders>
            <w:shd w:val="clear" w:color="auto" w:fill="auto"/>
            <w:vAlign w:val="center"/>
          </w:tcPr>
          <w:p w14:paraId="062318C0" w14:textId="22A1F03F" w:rsidR="00E561A2" w:rsidRDefault="005D2FB4" w:rsidP="00E561A2">
            <w:pPr>
              <w:widowControl w:val="0"/>
              <w:spacing w:after="0" w:line="100" w:lineRule="atLeast"/>
              <w:ind w:left="-72" w:firstLine="72"/>
              <w:jc w:val="right"/>
            </w:pPr>
            <w:r>
              <w:rPr>
                <w:color w:val="595959"/>
                <w:sz w:val="18"/>
                <w:szCs w:val="18"/>
              </w:rPr>
              <w:t>3.8</w:t>
            </w:r>
            <w:r w:rsidR="003E2F9E">
              <w:rPr>
                <w:color w:val="595959"/>
                <w:sz w:val="18"/>
                <w:szCs w:val="18"/>
              </w:rPr>
              <w:t>3</w:t>
            </w:r>
            <w:r w:rsidR="00033FCF">
              <w:rPr>
                <w:color w:val="595959"/>
                <w:sz w:val="18"/>
                <w:szCs w:val="18"/>
              </w:rPr>
              <w:t>%</w:t>
            </w:r>
            <w:r w:rsidR="00E561A2">
              <w:rPr>
                <w:color w:val="595959"/>
                <w:sz w:val="18"/>
                <w:szCs w:val="18"/>
              </w:rPr>
              <w:t xml:space="preserve"> </w:t>
            </w:r>
          </w:p>
        </w:tc>
      </w:tr>
      <w:tr w:rsidR="00E561A2" w14:paraId="4E1115FE" w14:textId="77777777" w:rsidTr="00011132">
        <w:trPr>
          <w:trHeight w:val="250"/>
        </w:trPr>
        <w:tc>
          <w:tcPr>
            <w:tcW w:w="2475" w:type="dxa"/>
            <w:gridSpan w:val="2"/>
            <w:tcBorders>
              <w:top w:val="single" w:sz="2" w:space="0" w:color="C0C0C0"/>
              <w:bottom w:val="single" w:sz="2" w:space="0" w:color="C0C0C0"/>
            </w:tcBorders>
            <w:shd w:val="clear" w:color="auto" w:fill="FFFFFF"/>
            <w:vAlign w:val="center"/>
          </w:tcPr>
          <w:p w14:paraId="439EAD07" w14:textId="77777777" w:rsidR="00E561A2" w:rsidRPr="00405FBB" w:rsidRDefault="00E561A2" w:rsidP="00E561A2">
            <w:pPr>
              <w:widowControl w:val="0"/>
              <w:spacing w:after="0" w:line="100" w:lineRule="atLeast"/>
              <w:rPr>
                <w:color w:val="595959"/>
                <w:sz w:val="18"/>
                <w:szCs w:val="18"/>
              </w:rPr>
            </w:pPr>
            <w:r w:rsidRPr="00405FBB">
              <w:rPr>
                <w:color w:val="595959"/>
                <w:sz w:val="18"/>
                <w:szCs w:val="18"/>
              </w:rPr>
              <w:t>Over (Under) Performance</w:t>
            </w:r>
          </w:p>
        </w:tc>
        <w:tc>
          <w:tcPr>
            <w:tcW w:w="871" w:type="dxa"/>
            <w:tcBorders>
              <w:top w:val="single" w:sz="2" w:space="0" w:color="C0C0C0"/>
              <w:bottom w:val="single" w:sz="2" w:space="0" w:color="C0C0C0"/>
            </w:tcBorders>
            <w:shd w:val="clear" w:color="auto" w:fill="FFFFFF"/>
            <w:vAlign w:val="center"/>
          </w:tcPr>
          <w:p w14:paraId="3960B51E" w14:textId="4482F201" w:rsidR="00E561A2" w:rsidRPr="00405FBB" w:rsidRDefault="003E2F9E" w:rsidP="00E561A2">
            <w:pPr>
              <w:widowControl w:val="0"/>
              <w:spacing w:after="0" w:line="100" w:lineRule="atLeast"/>
              <w:jc w:val="right"/>
            </w:pPr>
            <w:r>
              <w:rPr>
                <w:color w:val="595959"/>
                <w:sz w:val="18"/>
                <w:szCs w:val="18"/>
              </w:rPr>
              <w:t>-1</w:t>
            </w:r>
            <w:r w:rsidR="005D2FB4">
              <w:rPr>
                <w:color w:val="595959"/>
                <w:sz w:val="18"/>
                <w:szCs w:val="18"/>
              </w:rPr>
              <w:t>.</w:t>
            </w:r>
            <w:r>
              <w:rPr>
                <w:color w:val="595959"/>
                <w:sz w:val="18"/>
                <w:szCs w:val="18"/>
              </w:rPr>
              <w:t>31</w:t>
            </w:r>
            <w:r w:rsidR="00E561A2">
              <w:rPr>
                <w:color w:val="595959"/>
                <w:sz w:val="18"/>
                <w:szCs w:val="18"/>
              </w:rPr>
              <w:t>%</w:t>
            </w:r>
          </w:p>
        </w:tc>
      </w:tr>
      <w:tr w:rsidR="00E561A2" w14:paraId="40C41229" w14:textId="77777777" w:rsidTr="00011132">
        <w:trPr>
          <w:trHeight w:val="250"/>
        </w:trPr>
        <w:tc>
          <w:tcPr>
            <w:tcW w:w="2475" w:type="dxa"/>
            <w:gridSpan w:val="2"/>
            <w:tcBorders>
              <w:top w:val="single" w:sz="2" w:space="0" w:color="C0C0C0"/>
              <w:bottom w:val="single" w:sz="2" w:space="0" w:color="C0C0C0"/>
            </w:tcBorders>
            <w:shd w:val="clear" w:color="auto" w:fill="auto"/>
            <w:vAlign w:val="center"/>
          </w:tcPr>
          <w:p w14:paraId="405B580D" w14:textId="77777777" w:rsidR="00E561A2" w:rsidRDefault="00E561A2" w:rsidP="00E561A2">
            <w:pPr>
              <w:widowControl w:val="0"/>
              <w:spacing w:after="0" w:line="100" w:lineRule="atLeast"/>
              <w:rPr>
                <w:b/>
                <w:color w:val="595959"/>
                <w:sz w:val="18"/>
                <w:szCs w:val="18"/>
              </w:rPr>
            </w:pPr>
          </w:p>
        </w:tc>
        <w:tc>
          <w:tcPr>
            <w:tcW w:w="871" w:type="dxa"/>
            <w:tcBorders>
              <w:top w:val="single" w:sz="2" w:space="0" w:color="C0C0C0"/>
              <w:bottom w:val="single" w:sz="2" w:space="0" w:color="C0C0C0"/>
            </w:tcBorders>
            <w:shd w:val="clear" w:color="auto" w:fill="auto"/>
            <w:vAlign w:val="center"/>
          </w:tcPr>
          <w:p w14:paraId="0B4DBFCF" w14:textId="77777777" w:rsidR="00E561A2" w:rsidRDefault="00E561A2" w:rsidP="00E561A2">
            <w:pPr>
              <w:widowControl w:val="0"/>
              <w:spacing w:after="0" w:line="100" w:lineRule="atLeast"/>
              <w:jc w:val="right"/>
              <w:rPr>
                <w:rFonts w:cs="font345"/>
                <w:color w:val="595959"/>
                <w:sz w:val="18"/>
                <w:szCs w:val="18"/>
              </w:rPr>
            </w:pPr>
          </w:p>
        </w:tc>
      </w:tr>
      <w:tr w:rsidR="00CC64C6" w14:paraId="185C243B" w14:textId="77777777" w:rsidTr="00011132">
        <w:trPr>
          <w:trHeight w:val="250"/>
        </w:trPr>
        <w:tc>
          <w:tcPr>
            <w:tcW w:w="2475" w:type="dxa"/>
            <w:gridSpan w:val="2"/>
            <w:tcBorders>
              <w:top w:val="single" w:sz="2" w:space="0" w:color="C0C0C0"/>
              <w:bottom w:val="single" w:sz="2" w:space="0" w:color="C0C0C0"/>
            </w:tcBorders>
            <w:shd w:val="clear" w:color="auto" w:fill="auto"/>
            <w:vAlign w:val="center"/>
          </w:tcPr>
          <w:p w14:paraId="3CF97DF2" w14:textId="77777777" w:rsidR="00CC64C6" w:rsidRDefault="00CC64C6" w:rsidP="00CC64C6">
            <w:pPr>
              <w:widowControl w:val="0"/>
              <w:spacing w:after="0" w:line="100" w:lineRule="atLeast"/>
              <w:rPr>
                <w:rFonts w:cs="font345"/>
                <w:color w:val="595959"/>
                <w:sz w:val="18"/>
                <w:szCs w:val="18"/>
              </w:rPr>
            </w:pPr>
            <w:r>
              <w:rPr>
                <w:b/>
                <w:color w:val="595959"/>
                <w:sz w:val="18"/>
                <w:szCs w:val="18"/>
              </w:rPr>
              <w:t>January Options at Inception</w:t>
            </w:r>
          </w:p>
        </w:tc>
        <w:tc>
          <w:tcPr>
            <w:tcW w:w="871" w:type="dxa"/>
            <w:tcBorders>
              <w:top w:val="single" w:sz="2" w:space="0" w:color="C0C0C0"/>
              <w:bottom w:val="single" w:sz="2" w:space="0" w:color="C0C0C0"/>
            </w:tcBorders>
            <w:shd w:val="clear" w:color="auto" w:fill="auto"/>
            <w:vAlign w:val="center"/>
          </w:tcPr>
          <w:p w14:paraId="4A617897" w14:textId="77777777" w:rsidR="00CC64C6" w:rsidRDefault="00CC64C6" w:rsidP="00CC64C6">
            <w:pPr>
              <w:widowControl w:val="0"/>
              <w:spacing w:after="0" w:line="100" w:lineRule="atLeast"/>
              <w:jc w:val="right"/>
              <w:rPr>
                <w:rFonts w:cs="font345"/>
                <w:color w:val="595959"/>
                <w:sz w:val="18"/>
                <w:szCs w:val="18"/>
              </w:rPr>
            </w:pPr>
          </w:p>
        </w:tc>
      </w:tr>
      <w:tr w:rsidR="00CC64C6" w14:paraId="030BF887" w14:textId="77777777" w:rsidTr="00011132">
        <w:trPr>
          <w:trHeight w:val="250"/>
        </w:trPr>
        <w:tc>
          <w:tcPr>
            <w:tcW w:w="2475" w:type="dxa"/>
            <w:gridSpan w:val="2"/>
            <w:tcBorders>
              <w:top w:val="single" w:sz="2" w:space="0" w:color="C0C0C0"/>
              <w:bottom w:val="single" w:sz="2" w:space="0" w:color="C0C0C0"/>
            </w:tcBorders>
            <w:shd w:val="clear" w:color="auto" w:fill="auto"/>
            <w:vAlign w:val="center"/>
          </w:tcPr>
          <w:p w14:paraId="21E6AA13" w14:textId="77777777" w:rsidR="00CC64C6" w:rsidRDefault="00CC64C6" w:rsidP="00CC64C6">
            <w:pPr>
              <w:widowControl w:val="0"/>
              <w:spacing w:after="0" w:line="100" w:lineRule="atLeast"/>
              <w:rPr>
                <w:color w:val="595959"/>
                <w:sz w:val="18"/>
                <w:szCs w:val="18"/>
              </w:rPr>
            </w:pPr>
            <w:r>
              <w:rPr>
                <w:color w:val="595959"/>
                <w:sz w:val="18"/>
                <w:szCs w:val="18"/>
              </w:rPr>
              <w:t>1-Mth Implied Vol.</w:t>
            </w:r>
          </w:p>
        </w:tc>
        <w:tc>
          <w:tcPr>
            <w:tcW w:w="871" w:type="dxa"/>
            <w:tcBorders>
              <w:top w:val="single" w:sz="2" w:space="0" w:color="C0C0C0"/>
              <w:bottom w:val="single" w:sz="2" w:space="0" w:color="C0C0C0"/>
            </w:tcBorders>
            <w:shd w:val="clear" w:color="auto" w:fill="auto"/>
            <w:vAlign w:val="center"/>
          </w:tcPr>
          <w:p w14:paraId="29176F0C" w14:textId="77777777" w:rsidR="00CC64C6" w:rsidRDefault="00CC64C6" w:rsidP="00CC64C6">
            <w:pPr>
              <w:widowControl w:val="0"/>
              <w:spacing w:after="0" w:line="100" w:lineRule="atLeast"/>
              <w:jc w:val="right"/>
            </w:pPr>
            <w:r>
              <w:rPr>
                <w:color w:val="595959"/>
                <w:sz w:val="18"/>
                <w:szCs w:val="18"/>
              </w:rPr>
              <w:t>9.7%</w:t>
            </w:r>
          </w:p>
        </w:tc>
      </w:tr>
      <w:tr w:rsidR="00CC64C6" w14:paraId="6B7336D9" w14:textId="77777777" w:rsidTr="00011132">
        <w:trPr>
          <w:trHeight w:val="250"/>
        </w:trPr>
        <w:tc>
          <w:tcPr>
            <w:tcW w:w="2475" w:type="dxa"/>
            <w:gridSpan w:val="2"/>
            <w:tcBorders>
              <w:top w:val="single" w:sz="2" w:space="0" w:color="C0C0C0"/>
              <w:bottom w:val="single" w:sz="2" w:space="0" w:color="C0C0C0"/>
            </w:tcBorders>
            <w:shd w:val="clear" w:color="auto" w:fill="auto"/>
            <w:vAlign w:val="center"/>
          </w:tcPr>
          <w:p w14:paraId="7D4A0C5C" w14:textId="77777777" w:rsidR="00CC64C6" w:rsidRDefault="00CC64C6" w:rsidP="00CC64C6">
            <w:pPr>
              <w:widowControl w:val="0"/>
              <w:spacing w:after="0" w:line="100" w:lineRule="atLeast"/>
              <w:rPr>
                <w:color w:val="595959"/>
                <w:sz w:val="18"/>
                <w:szCs w:val="18"/>
              </w:rPr>
            </w:pPr>
            <w:r>
              <w:rPr>
                <w:color w:val="595959"/>
                <w:sz w:val="18"/>
                <w:szCs w:val="18"/>
              </w:rPr>
              <w:t>Portfolio Delta</w:t>
            </w:r>
          </w:p>
        </w:tc>
        <w:tc>
          <w:tcPr>
            <w:tcW w:w="871" w:type="dxa"/>
            <w:tcBorders>
              <w:top w:val="single" w:sz="2" w:space="0" w:color="C0C0C0"/>
              <w:bottom w:val="single" w:sz="2" w:space="0" w:color="C0C0C0"/>
            </w:tcBorders>
            <w:shd w:val="clear" w:color="auto" w:fill="auto"/>
            <w:vAlign w:val="center"/>
          </w:tcPr>
          <w:p w14:paraId="1CC923E8" w14:textId="77777777" w:rsidR="00CC64C6" w:rsidRPr="003E2F9E" w:rsidRDefault="00CC64C6" w:rsidP="00CC64C6">
            <w:pPr>
              <w:widowControl w:val="0"/>
              <w:spacing w:after="0" w:line="100" w:lineRule="atLeast"/>
              <w:jc w:val="right"/>
              <w:rPr>
                <w:color w:val="595959"/>
                <w:sz w:val="18"/>
                <w:szCs w:val="18"/>
              </w:rPr>
            </w:pPr>
            <w:r w:rsidRPr="003E2F9E">
              <w:rPr>
                <w:color w:val="595959"/>
                <w:sz w:val="18"/>
                <w:szCs w:val="18"/>
              </w:rPr>
              <w:t>-0.24</w:t>
            </w:r>
          </w:p>
        </w:tc>
      </w:tr>
      <w:tr w:rsidR="00CC64C6" w14:paraId="72124B07" w14:textId="77777777" w:rsidTr="00011132">
        <w:trPr>
          <w:trHeight w:val="250"/>
        </w:trPr>
        <w:tc>
          <w:tcPr>
            <w:tcW w:w="2475" w:type="dxa"/>
            <w:gridSpan w:val="2"/>
            <w:tcBorders>
              <w:top w:val="single" w:sz="2" w:space="0" w:color="C0C0C0"/>
              <w:bottom w:val="single" w:sz="2" w:space="0" w:color="C0C0C0"/>
            </w:tcBorders>
            <w:shd w:val="clear" w:color="auto" w:fill="FFFFFF"/>
            <w:vAlign w:val="center"/>
          </w:tcPr>
          <w:p w14:paraId="3E0C0C2F" w14:textId="77777777" w:rsidR="00CC64C6" w:rsidRDefault="00CC64C6" w:rsidP="00CC64C6">
            <w:pPr>
              <w:widowControl w:val="0"/>
              <w:spacing w:after="0" w:line="100" w:lineRule="atLeast"/>
              <w:rPr>
                <w:color w:val="595959"/>
                <w:sz w:val="18"/>
                <w:szCs w:val="18"/>
              </w:rPr>
            </w:pPr>
            <w:r>
              <w:rPr>
                <w:color w:val="595959"/>
                <w:sz w:val="18"/>
                <w:szCs w:val="18"/>
              </w:rPr>
              <w:t>% Portfolio Written</w:t>
            </w:r>
          </w:p>
        </w:tc>
        <w:tc>
          <w:tcPr>
            <w:tcW w:w="871" w:type="dxa"/>
            <w:tcBorders>
              <w:top w:val="single" w:sz="2" w:space="0" w:color="C0C0C0"/>
              <w:bottom w:val="single" w:sz="2" w:space="0" w:color="C0C0C0"/>
            </w:tcBorders>
            <w:shd w:val="clear" w:color="auto" w:fill="FFFFFF"/>
            <w:vAlign w:val="center"/>
          </w:tcPr>
          <w:p w14:paraId="6F3C2988" w14:textId="77777777" w:rsidR="00CC64C6" w:rsidRDefault="00CC64C6" w:rsidP="00CC64C6">
            <w:pPr>
              <w:widowControl w:val="0"/>
              <w:spacing w:after="0" w:line="100" w:lineRule="atLeast"/>
              <w:jc w:val="right"/>
            </w:pPr>
            <w:r>
              <w:rPr>
                <w:sz w:val="18"/>
                <w:szCs w:val="18"/>
              </w:rPr>
              <w:t>97</w:t>
            </w:r>
            <w:r w:rsidRPr="000D1AE5">
              <w:rPr>
                <w:sz w:val="18"/>
                <w:szCs w:val="18"/>
              </w:rPr>
              <w:t>%</w:t>
            </w:r>
          </w:p>
        </w:tc>
      </w:tr>
      <w:tr w:rsidR="00E561A2" w14:paraId="796CAC42" w14:textId="77777777" w:rsidTr="00011132">
        <w:trPr>
          <w:trHeight w:val="250"/>
        </w:trPr>
        <w:tc>
          <w:tcPr>
            <w:tcW w:w="2475" w:type="dxa"/>
            <w:gridSpan w:val="2"/>
            <w:tcBorders>
              <w:top w:val="single" w:sz="2" w:space="0" w:color="C0C0C0"/>
              <w:bottom w:val="single" w:sz="2" w:space="0" w:color="C0C0C0"/>
            </w:tcBorders>
            <w:shd w:val="clear" w:color="auto" w:fill="auto"/>
            <w:vAlign w:val="center"/>
          </w:tcPr>
          <w:p w14:paraId="42D538DD" w14:textId="77777777" w:rsidR="00E561A2" w:rsidRDefault="00E561A2" w:rsidP="00E561A2">
            <w:pPr>
              <w:widowControl w:val="0"/>
              <w:spacing w:after="0" w:line="100" w:lineRule="atLeast"/>
              <w:rPr>
                <w:rFonts w:cs="font345"/>
                <w:color w:val="595959"/>
                <w:sz w:val="18"/>
                <w:szCs w:val="18"/>
              </w:rPr>
            </w:pPr>
          </w:p>
        </w:tc>
        <w:tc>
          <w:tcPr>
            <w:tcW w:w="871" w:type="dxa"/>
            <w:tcBorders>
              <w:top w:val="single" w:sz="2" w:space="0" w:color="C0C0C0"/>
              <w:bottom w:val="single" w:sz="2" w:space="0" w:color="C0C0C0"/>
            </w:tcBorders>
            <w:shd w:val="clear" w:color="auto" w:fill="auto"/>
            <w:vAlign w:val="center"/>
          </w:tcPr>
          <w:p w14:paraId="08F350BA" w14:textId="77777777" w:rsidR="00E561A2" w:rsidRDefault="00E561A2" w:rsidP="00E561A2">
            <w:pPr>
              <w:widowControl w:val="0"/>
              <w:spacing w:after="0" w:line="100" w:lineRule="atLeast"/>
              <w:jc w:val="right"/>
              <w:rPr>
                <w:rFonts w:cs="font345"/>
                <w:color w:val="595959"/>
                <w:sz w:val="18"/>
                <w:szCs w:val="18"/>
              </w:rPr>
            </w:pPr>
          </w:p>
        </w:tc>
      </w:tr>
      <w:tr w:rsidR="00E561A2" w14:paraId="1D3F33A6" w14:textId="77777777" w:rsidTr="00011132">
        <w:trPr>
          <w:trHeight w:val="250"/>
        </w:trPr>
        <w:tc>
          <w:tcPr>
            <w:tcW w:w="2475" w:type="dxa"/>
            <w:gridSpan w:val="2"/>
            <w:tcBorders>
              <w:top w:val="single" w:sz="2" w:space="0" w:color="C0C0C0"/>
              <w:bottom w:val="single" w:sz="2" w:space="0" w:color="C0C0C0"/>
            </w:tcBorders>
            <w:shd w:val="clear" w:color="auto" w:fill="auto"/>
            <w:vAlign w:val="center"/>
          </w:tcPr>
          <w:p w14:paraId="5919651F" w14:textId="77777777" w:rsidR="00E561A2" w:rsidRDefault="00CC64C6" w:rsidP="00E561A2">
            <w:pPr>
              <w:widowControl w:val="0"/>
              <w:spacing w:after="0" w:line="100" w:lineRule="atLeast"/>
              <w:rPr>
                <w:rFonts w:cs="font345"/>
                <w:color w:val="595959"/>
                <w:sz w:val="18"/>
                <w:szCs w:val="18"/>
              </w:rPr>
            </w:pPr>
            <w:r>
              <w:rPr>
                <w:b/>
                <w:color w:val="595959"/>
                <w:sz w:val="18"/>
                <w:szCs w:val="18"/>
              </w:rPr>
              <w:t>February</w:t>
            </w:r>
            <w:r w:rsidR="00AE01E6">
              <w:rPr>
                <w:b/>
                <w:color w:val="595959"/>
                <w:sz w:val="18"/>
                <w:szCs w:val="18"/>
              </w:rPr>
              <w:t xml:space="preserve"> </w:t>
            </w:r>
            <w:r w:rsidR="00E561A2">
              <w:rPr>
                <w:b/>
                <w:color w:val="595959"/>
                <w:sz w:val="18"/>
                <w:szCs w:val="18"/>
              </w:rPr>
              <w:t>Options at Inception</w:t>
            </w:r>
          </w:p>
        </w:tc>
        <w:tc>
          <w:tcPr>
            <w:tcW w:w="871" w:type="dxa"/>
            <w:tcBorders>
              <w:top w:val="single" w:sz="2" w:space="0" w:color="C0C0C0"/>
              <w:bottom w:val="single" w:sz="2" w:space="0" w:color="C0C0C0"/>
            </w:tcBorders>
            <w:shd w:val="clear" w:color="auto" w:fill="auto"/>
            <w:vAlign w:val="center"/>
          </w:tcPr>
          <w:p w14:paraId="3E494DEC" w14:textId="77777777" w:rsidR="00E561A2" w:rsidRDefault="00E561A2" w:rsidP="00E561A2">
            <w:pPr>
              <w:widowControl w:val="0"/>
              <w:spacing w:after="0" w:line="100" w:lineRule="atLeast"/>
              <w:jc w:val="right"/>
              <w:rPr>
                <w:rFonts w:cs="font345"/>
                <w:color w:val="595959"/>
                <w:sz w:val="18"/>
                <w:szCs w:val="18"/>
              </w:rPr>
            </w:pPr>
          </w:p>
        </w:tc>
      </w:tr>
      <w:tr w:rsidR="00E561A2" w14:paraId="3ABDDEC9" w14:textId="77777777" w:rsidTr="00011132">
        <w:trPr>
          <w:trHeight w:val="250"/>
        </w:trPr>
        <w:tc>
          <w:tcPr>
            <w:tcW w:w="2475" w:type="dxa"/>
            <w:gridSpan w:val="2"/>
            <w:tcBorders>
              <w:top w:val="single" w:sz="2" w:space="0" w:color="C0C0C0"/>
              <w:bottom w:val="single" w:sz="2" w:space="0" w:color="C0C0C0"/>
            </w:tcBorders>
            <w:shd w:val="clear" w:color="auto" w:fill="auto"/>
            <w:vAlign w:val="center"/>
          </w:tcPr>
          <w:p w14:paraId="1CAD23C6" w14:textId="77777777" w:rsidR="00E561A2" w:rsidRDefault="00E561A2" w:rsidP="00E561A2">
            <w:pPr>
              <w:widowControl w:val="0"/>
              <w:spacing w:after="0" w:line="100" w:lineRule="atLeast"/>
              <w:rPr>
                <w:color w:val="595959"/>
                <w:sz w:val="18"/>
                <w:szCs w:val="18"/>
              </w:rPr>
            </w:pPr>
            <w:r>
              <w:rPr>
                <w:color w:val="595959"/>
                <w:sz w:val="18"/>
                <w:szCs w:val="18"/>
              </w:rPr>
              <w:t>1-Mth Implied Vol.</w:t>
            </w:r>
          </w:p>
        </w:tc>
        <w:tc>
          <w:tcPr>
            <w:tcW w:w="871" w:type="dxa"/>
            <w:tcBorders>
              <w:top w:val="single" w:sz="2" w:space="0" w:color="C0C0C0"/>
              <w:bottom w:val="single" w:sz="2" w:space="0" w:color="C0C0C0"/>
            </w:tcBorders>
            <w:shd w:val="clear" w:color="auto" w:fill="auto"/>
            <w:vAlign w:val="center"/>
          </w:tcPr>
          <w:p w14:paraId="39422CCF" w14:textId="77777777" w:rsidR="00E561A2" w:rsidRDefault="00CC64C6" w:rsidP="00C72285">
            <w:pPr>
              <w:widowControl w:val="0"/>
              <w:spacing w:after="0" w:line="100" w:lineRule="atLeast"/>
              <w:jc w:val="right"/>
            </w:pPr>
            <w:r>
              <w:rPr>
                <w:color w:val="595959"/>
                <w:sz w:val="18"/>
                <w:szCs w:val="18"/>
              </w:rPr>
              <w:t>9.5</w:t>
            </w:r>
            <w:r w:rsidR="00E561A2">
              <w:rPr>
                <w:color w:val="595959"/>
                <w:sz w:val="18"/>
                <w:szCs w:val="18"/>
              </w:rPr>
              <w:t>%</w:t>
            </w:r>
          </w:p>
        </w:tc>
      </w:tr>
      <w:tr w:rsidR="00E561A2" w14:paraId="7527FCEE" w14:textId="77777777" w:rsidTr="00011132">
        <w:trPr>
          <w:trHeight w:val="250"/>
        </w:trPr>
        <w:tc>
          <w:tcPr>
            <w:tcW w:w="2475" w:type="dxa"/>
            <w:gridSpan w:val="2"/>
            <w:tcBorders>
              <w:top w:val="single" w:sz="2" w:space="0" w:color="C0C0C0"/>
              <w:bottom w:val="single" w:sz="2" w:space="0" w:color="C0C0C0"/>
            </w:tcBorders>
            <w:shd w:val="clear" w:color="auto" w:fill="auto"/>
            <w:vAlign w:val="center"/>
          </w:tcPr>
          <w:p w14:paraId="211899D7" w14:textId="77777777" w:rsidR="00E561A2" w:rsidRDefault="00E561A2" w:rsidP="00E561A2">
            <w:pPr>
              <w:widowControl w:val="0"/>
              <w:spacing w:after="0" w:line="100" w:lineRule="atLeast"/>
              <w:rPr>
                <w:color w:val="595959"/>
                <w:sz w:val="18"/>
                <w:szCs w:val="18"/>
              </w:rPr>
            </w:pPr>
            <w:r>
              <w:rPr>
                <w:color w:val="595959"/>
                <w:sz w:val="18"/>
                <w:szCs w:val="18"/>
              </w:rPr>
              <w:t>Portfolio Delta</w:t>
            </w:r>
          </w:p>
        </w:tc>
        <w:tc>
          <w:tcPr>
            <w:tcW w:w="871" w:type="dxa"/>
            <w:tcBorders>
              <w:top w:val="single" w:sz="2" w:space="0" w:color="C0C0C0"/>
              <w:bottom w:val="single" w:sz="2" w:space="0" w:color="C0C0C0"/>
            </w:tcBorders>
            <w:shd w:val="clear" w:color="auto" w:fill="auto"/>
            <w:vAlign w:val="center"/>
          </w:tcPr>
          <w:p w14:paraId="47D29842" w14:textId="77777777" w:rsidR="00CC64C6" w:rsidRPr="003E2F9E" w:rsidRDefault="00CC64C6" w:rsidP="0029430B">
            <w:pPr>
              <w:widowControl w:val="0"/>
              <w:spacing w:after="0" w:line="100" w:lineRule="atLeast"/>
              <w:jc w:val="right"/>
              <w:rPr>
                <w:color w:val="595959"/>
                <w:sz w:val="18"/>
                <w:szCs w:val="18"/>
              </w:rPr>
            </w:pPr>
            <w:r w:rsidRPr="003E2F9E">
              <w:rPr>
                <w:color w:val="595959"/>
                <w:sz w:val="18"/>
                <w:szCs w:val="18"/>
              </w:rPr>
              <w:t>-0.25</w:t>
            </w:r>
          </w:p>
        </w:tc>
      </w:tr>
      <w:tr w:rsidR="00E561A2" w14:paraId="7897F3D0" w14:textId="77777777" w:rsidTr="00011132">
        <w:trPr>
          <w:trHeight w:val="250"/>
        </w:trPr>
        <w:tc>
          <w:tcPr>
            <w:tcW w:w="2475" w:type="dxa"/>
            <w:gridSpan w:val="2"/>
            <w:tcBorders>
              <w:top w:val="single" w:sz="2" w:space="0" w:color="C0C0C0"/>
              <w:bottom w:val="single" w:sz="2" w:space="0" w:color="C0C0C0"/>
            </w:tcBorders>
            <w:shd w:val="clear" w:color="auto" w:fill="FFFFFF"/>
            <w:vAlign w:val="center"/>
          </w:tcPr>
          <w:p w14:paraId="1A1F3850" w14:textId="77777777" w:rsidR="00E561A2" w:rsidRDefault="00E561A2" w:rsidP="00E561A2">
            <w:pPr>
              <w:widowControl w:val="0"/>
              <w:spacing w:after="0" w:line="100" w:lineRule="atLeast"/>
              <w:rPr>
                <w:color w:val="595959"/>
                <w:sz w:val="18"/>
                <w:szCs w:val="18"/>
              </w:rPr>
            </w:pPr>
            <w:r>
              <w:rPr>
                <w:color w:val="595959"/>
                <w:sz w:val="18"/>
                <w:szCs w:val="18"/>
              </w:rPr>
              <w:t>% Portfolio Written</w:t>
            </w:r>
          </w:p>
        </w:tc>
        <w:tc>
          <w:tcPr>
            <w:tcW w:w="871" w:type="dxa"/>
            <w:tcBorders>
              <w:top w:val="single" w:sz="2" w:space="0" w:color="C0C0C0"/>
              <w:bottom w:val="single" w:sz="2" w:space="0" w:color="C0C0C0"/>
            </w:tcBorders>
            <w:shd w:val="clear" w:color="auto" w:fill="FFFFFF"/>
            <w:vAlign w:val="center"/>
          </w:tcPr>
          <w:p w14:paraId="3AC026A9" w14:textId="77777777" w:rsidR="00E561A2" w:rsidRDefault="00C10303" w:rsidP="00E561A2">
            <w:pPr>
              <w:widowControl w:val="0"/>
              <w:spacing w:after="0" w:line="100" w:lineRule="atLeast"/>
              <w:jc w:val="right"/>
            </w:pPr>
            <w:r>
              <w:rPr>
                <w:sz w:val="18"/>
                <w:szCs w:val="18"/>
              </w:rPr>
              <w:t>97</w:t>
            </w:r>
            <w:r w:rsidR="00E561A2" w:rsidRPr="000D1AE5">
              <w:rPr>
                <w:sz w:val="18"/>
                <w:szCs w:val="18"/>
              </w:rPr>
              <w:t>%</w:t>
            </w:r>
          </w:p>
        </w:tc>
      </w:tr>
      <w:tr w:rsidR="00E561A2" w14:paraId="095FDFA6" w14:textId="77777777" w:rsidTr="00011132">
        <w:trPr>
          <w:trHeight w:val="250"/>
        </w:trPr>
        <w:tc>
          <w:tcPr>
            <w:tcW w:w="2475" w:type="dxa"/>
            <w:gridSpan w:val="2"/>
            <w:tcBorders>
              <w:top w:val="single" w:sz="2" w:space="0" w:color="C0C0C0"/>
              <w:bottom w:val="single" w:sz="2" w:space="0" w:color="C0C0C0"/>
            </w:tcBorders>
            <w:shd w:val="clear" w:color="auto" w:fill="FFFFFF"/>
            <w:vAlign w:val="center"/>
          </w:tcPr>
          <w:p w14:paraId="78716B45" w14:textId="77777777" w:rsidR="00E561A2" w:rsidRDefault="00E561A2" w:rsidP="00E561A2">
            <w:pPr>
              <w:widowControl w:val="0"/>
              <w:spacing w:after="0" w:line="100" w:lineRule="atLeast"/>
              <w:rPr>
                <w:color w:val="595959"/>
                <w:sz w:val="18"/>
                <w:szCs w:val="18"/>
              </w:rPr>
            </w:pPr>
          </w:p>
        </w:tc>
        <w:tc>
          <w:tcPr>
            <w:tcW w:w="871" w:type="dxa"/>
            <w:tcBorders>
              <w:top w:val="single" w:sz="2" w:space="0" w:color="C0C0C0"/>
              <w:bottom w:val="single" w:sz="2" w:space="0" w:color="C0C0C0"/>
            </w:tcBorders>
            <w:shd w:val="clear" w:color="auto" w:fill="FFFFFF"/>
            <w:vAlign w:val="center"/>
          </w:tcPr>
          <w:p w14:paraId="322D27E2" w14:textId="77777777" w:rsidR="00E561A2" w:rsidRDefault="00E561A2" w:rsidP="00E561A2">
            <w:pPr>
              <w:widowControl w:val="0"/>
              <w:spacing w:after="0" w:line="100" w:lineRule="atLeast"/>
              <w:jc w:val="right"/>
              <w:rPr>
                <w:color w:val="595959"/>
                <w:sz w:val="18"/>
                <w:szCs w:val="18"/>
              </w:rPr>
            </w:pPr>
          </w:p>
        </w:tc>
      </w:tr>
      <w:tr w:rsidR="00E561A2" w14:paraId="0F5E75E9" w14:textId="77777777" w:rsidTr="00011132">
        <w:trPr>
          <w:trHeight w:val="250"/>
        </w:trPr>
        <w:tc>
          <w:tcPr>
            <w:tcW w:w="3346" w:type="dxa"/>
            <w:gridSpan w:val="3"/>
            <w:tcBorders>
              <w:top w:val="single" w:sz="2" w:space="0" w:color="C0C0C0"/>
              <w:bottom w:val="single" w:sz="2" w:space="0" w:color="C0C0C0"/>
            </w:tcBorders>
            <w:shd w:val="clear" w:color="auto" w:fill="FFFFFF"/>
          </w:tcPr>
          <w:p w14:paraId="3E138EEA" w14:textId="77777777" w:rsidR="00E561A2" w:rsidRDefault="00E561A2" w:rsidP="00E561A2">
            <w:pPr>
              <w:widowControl w:val="0"/>
              <w:spacing w:after="0" w:line="100" w:lineRule="atLeast"/>
              <w:rPr>
                <w:color w:val="595959"/>
                <w:sz w:val="18"/>
                <w:szCs w:val="18"/>
              </w:rPr>
            </w:pPr>
            <w:r>
              <w:rPr>
                <w:b/>
                <w:color w:val="E36C0A"/>
                <w:sz w:val="18"/>
                <w:szCs w:val="18"/>
              </w:rPr>
              <w:t>Distribution Per Unit History (by ex-date)</w:t>
            </w:r>
          </w:p>
        </w:tc>
      </w:tr>
      <w:tr w:rsidR="00E561A2" w14:paraId="75048A3B" w14:textId="77777777" w:rsidTr="00011132">
        <w:trPr>
          <w:trHeight w:val="250"/>
        </w:trPr>
        <w:tc>
          <w:tcPr>
            <w:tcW w:w="2475" w:type="dxa"/>
            <w:gridSpan w:val="2"/>
            <w:tcBorders>
              <w:top w:val="single" w:sz="2" w:space="0" w:color="C0C0C0"/>
              <w:bottom w:val="single" w:sz="2" w:space="0" w:color="C0C0C0"/>
            </w:tcBorders>
            <w:shd w:val="clear" w:color="auto" w:fill="FFFFFF"/>
            <w:vAlign w:val="center"/>
          </w:tcPr>
          <w:p w14:paraId="35DE2963" w14:textId="77777777" w:rsidR="00E561A2" w:rsidRDefault="00114141" w:rsidP="00E561A2">
            <w:pPr>
              <w:widowControl w:val="0"/>
              <w:spacing w:after="0" w:line="100" w:lineRule="atLeast"/>
              <w:rPr>
                <w:color w:val="595959"/>
                <w:sz w:val="18"/>
                <w:szCs w:val="18"/>
              </w:rPr>
            </w:pPr>
            <w:r>
              <w:rPr>
                <w:color w:val="595959"/>
                <w:sz w:val="18"/>
                <w:szCs w:val="18"/>
              </w:rPr>
              <w:t>2 January 2020</w:t>
            </w:r>
          </w:p>
        </w:tc>
        <w:tc>
          <w:tcPr>
            <w:tcW w:w="871" w:type="dxa"/>
            <w:tcBorders>
              <w:top w:val="single" w:sz="2" w:space="0" w:color="C0C0C0"/>
              <w:bottom w:val="single" w:sz="2" w:space="0" w:color="C0C0C0"/>
            </w:tcBorders>
            <w:shd w:val="clear" w:color="auto" w:fill="FFFFFF"/>
            <w:vAlign w:val="center"/>
          </w:tcPr>
          <w:p w14:paraId="26E68838" w14:textId="77777777" w:rsidR="00E561A2" w:rsidRDefault="00E561A2" w:rsidP="00E561A2">
            <w:pPr>
              <w:widowControl w:val="0"/>
              <w:spacing w:after="0" w:line="100" w:lineRule="atLeast"/>
              <w:jc w:val="right"/>
              <w:rPr>
                <w:color w:val="595959"/>
                <w:sz w:val="18"/>
                <w:szCs w:val="18"/>
                <w:lang w:eastAsia="zh-CN"/>
              </w:rPr>
            </w:pPr>
            <w:r>
              <w:rPr>
                <w:color w:val="595959"/>
                <w:sz w:val="18"/>
                <w:szCs w:val="18"/>
              </w:rPr>
              <w:t>$0.</w:t>
            </w:r>
            <w:r w:rsidR="006B61AF">
              <w:rPr>
                <w:color w:val="595959"/>
                <w:sz w:val="18"/>
                <w:szCs w:val="18"/>
                <w:lang w:eastAsia="zh-CN"/>
              </w:rPr>
              <w:t>2889</w:t>
            </w:r>
          </w:p>
        </w:tc>
      </w:tr>
      <w:tr w:rsidR="00114141" w14:paraId="1FA836C2" w14:textId="77777777" w:rsidTr="00011132">
        <w:trPr>
          <w:trHeight w:val="250"/>
        </w:trPr>
        <w:tc>
          <w:tcPr>
            <w:tcW w:w="2475" w:type="dxa"/>
            <w:gridSpan w:val="2"/>
            <w:tcBorders>
              <w:top w:val="single" w:sz="2" w:space="0" w:color="C0C0C0"/>
              <w:bottom w:val="single" w:sz="2" w:space="0" w:color="C0C0C0"/>
            </w:tcBorders>
            <w:shd w:val="clear" w:color="auto" w:fill="FFFFFF"/>
            <w:vAlign w:val="center"/>
          </w:tcPr>
          <w:p w14:paraId="4A37FAFC" w14:textId="77777777" w:rsidR="00114141" w:rsidRDefault="00114141" w:rsidP="00114141">
            <w:pPr>
              <w:widowControl w:val="0"/>
              <w:spacing w:after="0" w:line="100" w:lineRule="atLeast"/>
              <w:rPr>
                <w:color w:val="595959"/>
                <w:sz w:val="18"/>
                <w:szCs w:val="18"/>
              </w:rPr>
            </w:pPr>
            <w:r>
              <w:rPr>
                <w:color w:val="595959"/>
                <w:sz w:val="18"/>
                <w:szCs w:val="18"/>
              </w:rPr>
              <w:t>1 October 2019</w:t>
            </w:r>
          </w:p>
        </w:tc>
        <w:tc>
          <w:tcPr>
            <w:tcW w:w="871" w:type="dxa"/>
            <w:tcBorders>
              <w:top w:val="single" w:sz="2" w:space="0" w:color="C0C0C0"/>
              <w:bottom w:val="single" w:sz="2" w:space="0" w:color="C0C0C0"/>
            </w:tcBorders>
            <w:shd w:val="clear" w:color="auto" w:fill="FFFFFF"/>
            <w:vAlign w:val="center"/>
          </w:tcPr>
          <w:p w14:paraId="60A471A2" w14:textId="77777777" w:rsidR="00114141" w:rsidRDefault="00114141" w:rsidP="00114141">
            <w:pPr>
              <w:widowControl w:val="0"/>
              <w:spacing w:after="0" w:line="100" w:lineRule="atLeast"/>
              <w:jc w:val="right"/>
              <w:rPr>
                <w:color w:val="595959"/>
                <w:sz w:val="18"/>
                <w:szCs w:val="18"/>
                <w:lang w:eastAsia="zh-CN"/>
              </w:rPr>
            </w:pPr>
            <w:r>
              <w:rPr>
                <w:color w:val="595959"/>
                <w:sz w:val="18"/>
                <w:szCs w:val="18"/>
              </w:rPr>
              <w:t>$0.</w:t>
            </w:r>
            <w:r>
              <w:rPr>
                <w:color w:val="595959"/>
                <w:sz w:val="18"/>
                <w:szCs w:val="18"/>
                <w:lang w:eastAsia="zh-CN"/>
              </w:rPr>
              <w:t>2615</w:t>
            </w:r>
          </w:p>
        </w:tc>
      </w:tr>
      <w:tr w:rsidR="00114141" w14:paraId="5C1D5097" w14:textId="77777777" w:rsidTr="00011132">
        <w:trPr>
          <w:trHeight w:val="250"/>
        </w:trPr>
        <w:tc>
          <w:tcPr>
            <w:tcW w:w="2475" w:type="dxa"/>
            <w:gridSpan w:val="2"/>
            <w:tcBorders>
              <w:top w:val="single" w:sz="2" w:space="0" w:color="C0C0C0"/>
              <w:bottom w:val="single" w:sz="2" w:space="0" w:color="C0C0C0"/>
            </w:tcBorders>
            <w:shd w:val="clear" w:color="auto" w:fill="FFFFFF"/>
            <w:vAlign w:val="center"/>
          </w:tcPr>
          <w:p w14:paraId="13498154" w14:textId="77777777" w:rsidR="00114141" w:rsidRDefault="00114141" w:rsidP="00114141">
            <w:pPr>
              <w:widowControl w:val="0"/>
              <w:spacing w:after="0" w:line="100" w:lineRule="atLeast"/>
              <w:rPr>
                <w:color w:val="595959"/>
                <w:sz w:val="18"/>
                <w:szCs w:val="18"/>
              </w:rPr>
            </w:pPr>
            <w:r>
              <w:rPr>
                <w:color w:val="595959"/>
                <w:sz w:val="18"/>
                <w:szCs w:val="18"/>
              </w:rPr>
              <w:t>1 July 2019</w:t>
            </w:r>
          </w:p>
        </w:tc>
        <w:tc>
          <w:tcPr>
            <w:tcW w:w="871" w:type="dxa"/>
            <w:tcBorders>
              <w:top w:val="single" w:sz="2" w:space="0" w:color="C0C0C0"/>
              <w:bottom w:val="single" w:sz="2" w:space="0" w:color="C0C0C0"/>
            </w:tcBorders>
            <w:shd w:val="clear" w:color="auto" w:fill="FFFFFF"/>
            <w:vAlign w:val="center"/>
          </w:tcPr>
          <w:p w14:paraId="05F3269F" w14:textId="77777777" w:rsidR="00114141" w:rsidRDefault="00114141" w:rsidP="00114141">
            <w:pPr>
              <w:widowControl w:val="0"/>
              <w:spacing w:after="0" w:line="100" w:lineRule="atLeast"/>
              <w:jc w:val="right"/>
              <w:rPr>
                <w:color w:val="595959"/>
                <w:sz w:val="18"/>
                <w:szCs w:val="18"/>
                <w:lang w:eastAsia="zh-CN"/>
              </w:rPr>
            </w:pPr>
            <w:r>
              <w:rPr>
                <w:color w:val="595959"/>
                <w:sz w:val="18"/>
                <w:szCs w:val="18"/>
              </w:rPr>
              <w:t>$0.</w:t>
            </w:r>
            <w:r>
              <w:rPr>
                <w:color w:val="595959"/>
                <w:sz w:val="18"/>
                <w:szCs w:val="18"/>
                <w:lang w:eastAsia="zh-CN"/>
              </w:rPr>
              <w:t>2826</w:t>
            </w:r>
          </w:p>
        </w:tc>
      </w:tr>
      <w:tr w:rsidR="00114141" w14:paraId="5E23214B" w14:textId="77777777" w:rsidTr="00011132">
        <w:trPr>
          <w:trHeight w:val="250"/>
        </w:trPr>
        <w:tc>
          <w:tcPr>
            <w:tcW w:w="2475" w:type="dxa"/>
            <w:gridSpan w:val="2"/>
            <w:tcBorders>
              <w:top w:val="single" w:sz="2" w:space="0" w:color="C0C0C0"/>
              <w:bottom w:val="single" w:sz="2" w:space="0" w:color="C0C0C0"/>
            </w:tcBorders>
            <w:shd w:val="clear" w:color="auto" w:fill="FFFFFF"/>
            <w:vAlign w:val="center"/>
          </w:tcPr>
          <w:p w14:paraId="6BA99ED9" w14:textId="77777777" w:rsidR="00114141" w:rsidRDefault="00114141" w:rsidP="00114141">
            <w:pPr>
              <w:widowControl w:val="0"/>
              <w:spacing w:after="0" w:line="100" w:lineRule="atLeast"/>
              <w:rPr>
                <w:color w:val="595959"/>
                <w:sz w:val="18"/>
                <w:szCs w:val="18"/>
              </w:rPr>
            </w:pPr>
            <w:r>
              <w:rPr>
                <w:color w:val="595959"/>
                <w:sz w:val="18"/>
                <w:szCs w:val="18"/>
              </w:rPr>
              <w:t>1 April 2019</w:t>
            </w:r>
          </w:p>
        </w:tc>
        <w:tc>
          <w:tcPr>
            <w:tcW w:w="871" w:type="dxa"/>
            <w:tcBorders>
              <w:top w:val="single" w:sz="2" w:space="0" w:color="C0C0C0"/>
              <w:bottom w:val="single" w:sz="2" w:space="0" w:color="C0C0C0"/>
            </w:tcBorders>
            <w:shd w:val="clear" w:color="auto" w:fill="FFFFFF"/>
            <w:vAlign w:val="center"/>
          </w:tcPr>
          <w:p w14:paraId="653FDD8C" w14:textId="77777777" w:rsidR="00114141" w:rsidRDefault="00114141" w:rsidP="00114141">
            <w:pPr>
              <w:widowControl w:val="0"/>
              <w:spacing w:after="0" w:line="100" w:lineRule="atLeast"/>
              <w:jc w:val="right"/>
              <w:rPr>
                <w:color w:val="595959"/>
                <w:sz w:val="18"/>
                <w:szCs w:val="18"/>
                <w:lang w:eastAsia="zh-CN"/>
              </w:rPr>
            </w:pPr>
            <w:r>
              <w:rPr>
                <w:color w:val="595959"/>
                <w:sz w:val="18"/>
                <w:szCs w:val="18"/>
              </w:rPr>
              <w:t>$0.</w:t>
            </w:r>
            <w:r>
              <w:rPr>
                <w:color w:val="595959"/>
                <w:sz w:val="18"/>
                <w:szCs w:val="18"/>
                <w:lang w:eastAsia="zh-CN"/>
              </w:rPr>
              <w:t>3117</w:t>
            </w:r>
          </w:p>
        </w:tc>
      </w:tr>
    </w:tbl>
    <w:p w14:paraId="04C1277F" w14:textId="77777777" w:rsidR="00095AEC" w:rsidRPr="006A757A" w:rsidRDefault="0029430B" w:rsidP="00D1762B">
      <w:pPr>
        <w:spacing w:after="0" w:line="240" w:lineRule="auto"/>
        <w:jc w:val="both"/>
        <w:rPr>
          <w:noProof/>
          <w:lang w:eastAsia="zh-CN"/>
        </w:rPr>
      </w:pPr>
      <w:r>
        <w:rPr>
          <w:noProof/>
          <w:lang w:val="en-US" w:eastAsia="en-US"/>
        </w:rPr>
        <w:drawing>
          <wp:inline distT="0" distB="0" distL="0" distR="0" wp14:anchorId="0A81CAD9" wp14:editId="528378A8">
            <wp:extent cx="3886200" cy="26868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87124" cy="2687535"/>
                    </a:xfrm>
                    <a:prstGeom prst="rect">
                      <a:avLst/>
                    </a:prstGeom>
                    <a:noFill/>
                  </pic:spPr>
                </pic:pic>
              </a:graphicData>
            </a:graphic>
          </wp:inline>
        </w:drawing>
      </w:r>
    </w:p>
    <w:p w14:paraId="0114E02C" w14:textId="77777777" w:rsidR="00546457" w:rsidRDefault="00095AEC" w:rsidP="00FF1FCF">
      <w:pPr>
        <w:spacing w:after="0" w:line="240" w:lineRule="auto"/>
        <w:jc w:val="both"/>
        <w:rPr>
          <w:sz w:val="20"/>
          <w:szCs w:val="20"/>
          <w:lang w:eastAsia="zh-CN"/>
        </w:rPr>
      </w:pPr>
      <w:r>
        <w:rPr>
          <w:noProof/>
          <w:sz w:val="18"/>
          <w:szCs w:val="18"/>
        </w:rPr>
        <w:t>S</w:t>
      </w:r>
      <w:r w:rsidR="00FD6E5C">
        <w:rPr>
          <w:noProof/>
          <w:sz w:val="18"/>
          <w:szCs w:val="18"/>
        </w:rPr>
        <w:t xml:space="preserve">ource: Bloomberg, as </w:t>
      </w:r>
      <w:r w:rsidR="004033BC">
        <w:rPr>
          <w:noProof/>
          <w:sz w:val="18"/>
          <w:szCs w:val="18"/>
        </w:rPr>
        <w:t>of</w:t>
      </w:r>
      <w:r w:rsidR="00C32D3E">
        <w:rPr>
          <w:noProof/>
          <w:sz w:val="18"/>
          <w:szCs w:val="18"/>
        </w:rPr>
        <w:t xml:space="preserve"> 17 January 2020</w:t>
      </w:r>
    </w:p>
    <w:p w14:paraId="18E8B1D5" w14:textId="77777777" w:rsidR="00546457" w:rsidRDefault="00546457" w:rsidP="00FF1FCF">
      <w:pPr>
        <w:spacing w:after="0" w:line="240" w:lineRule="auto"/>
        <w:jc w:val="both"/>
        <w:rPr>
          <w:sz w:val="20"/>
          <w:szCs w:val="20"/>
          <w:lang w:eastAsia="zh-CN"/>
        </w:rPr>
      </w:pPr>
    </w:p>
    <w:p w14:paraId="31FAF48C" w14:textId="77777777" w:rsidR="00546457" w:rsidRDefault="00546457" w:rsidP="00FF1FCF">
      <w:pPr>
        <w:spacing w:after="0" w:line="240" w:lineRule="auto"/>
        <w:jc w:val="both"/>
        <w:rPr>
          <w:sz w:val="20"/>
          <w:szCs w:val="20"/>
          <w:lang w:eastAsia="zh-CN"/>
        </w:rPr>
      </w:pPr>
    </w:p>
    <w:p w14:paraId="03847EBC" w14:textId="77777777" w:rsidR="00546457" w:rsidRDefault="00546457" w:rsidP="00FF1FCF">
      <w:pPr>
        <w:spacing w:after="0" w:line="240" w:lineRule="auto"/>
        <w:jc w:val="both"/>
        <w:rPr>
          <w:sz w:val="20"/>
          <w:szCs w:val="20"/>
          <w:lang w:eastAsia="zh-CN"/>
        </w:rPr>
      </w:pPr>
    </w:p>
    <w:p w14:paraId="0CFEA24B" w14:textId="77777777" w:rsidR="00546457" w:rsidRDefault="00546457" w:rsidP="00FF1FCF">
      <w:pPr>
        <w:spacing w:after="0" w:line="240" w:lineRule="auto"/>
        <w:jc w:val="both"/>
        <w:rPr>
          <w:sz w:val="20"/>
          <w:szCs w:val="20"/>
          <w:lang w:eastAsia="zh-CN"/>
        </w:rPr>
      </w:pPr>
    </w:p>
    <w:p w14:paraId="1FA4C49E" w14:textId="77777777" w:rsidR="00546457" w:rsidRDefault="00546457" w:rsidP="00FF1FCF">
      <w:pPr>
        <w:spacing w:after="0" w:line="240" w:lineRule="auto"/>
        <w:jc w:val="both"/>
        <w:rPr>
          <w:sz w:val="20"/>
          <w:szCs w:val="20"/>
          <w:lang w:eastAsia="zh-CN"/>
        </w:rPr>
      </w:pPr>
    </w:p>
    <w:p w14:paraId="0F17A76C" w14:textId="77777777" w:rsidR="001A4252" w:rsidRDefault="001A4252" w:rsidP="00FF1FCF">
      <w:pPr>
        <w:spacing w:after="0" w:line="240" w:lineRule="auto"/>
        <w:jc w:val="both"/>
        <w:rPr>
          <w:sz w:val="20"/>
          <w:szCs w:val="20"/>
          <w:lang w:eastAsia="zh-CN"/>
        </w:rPr>
      </w:pPr>
    </w:p>
    <w:p w14:paraId="197E970B" w14:textId="77777777" w:rsidR="001A4252" w:rsidRDefault="001A4252" w:rsidP="00FF1FCF">
      <w:pPr>
        <w:spacing w:after="0" w:line="240" w:lineRule="auto"/>
        <w:jc w:val="both"/>
        <w:rPr>
          <w:sz w:val="20"/>
          <w:szCs w:val="20"/>
          <w:lang w:eastAsia="zh-CN"/>
        </w:rPr>
      </w:pPr>
    </w:p>
    <w:p w14:paraId="287530B1" w14:textId="77777777" w:rsidR="001A4252" w:rsidRPr="001A4252" w:rsidRDefault="001A4252" w:rsidP="00FF1FCF">
      <w:pPr>
        <w:spacing w:after="0" w:line="240" w:lineRule="auto"/>
        <w:jc w:val="both"/>
        <w:rPr>
          <w:sz w:val="20"/>
          <w:szCs w:val="20"/>
          <w:lang w:eastAsia="zh-CN"/>
        </w:rPr>
      </w:pPr>
    </w:p>
    <w:p w14:paraId="63FB3166" w14:textId="77777777" w:rsidR="00C32D3E" w:rsidRDefault="00C32D3E" w:rsidP="00FF1FCF">
      <w:pPr>
        <w:spacing w:after="0" w:line="240" w:lineRule="auto"/>
        <w:jc w:val="both"/>
        <w:rPr>
          <w:sz w:val="20"/>
          <w:szCs w:val="20"/>
          <w:lang w:val="en-US"/>
        </w:rPr>
      </w:pPr>
    </w:p>
    <w:p w14:paraId="36A2F7B9" w14:textId="662D0523" w:rsidR="001A16C6" w:rsidRPr="00790382" w:rsidRDefault="00F86740" w:rsidP="00FF1FCF">
      <w:pPr>
        <w:spacing w:after="0" w:line="240" w:lineRule="auto"/>
        <w:jc w:val="both"/>
        <w:rPr>
          <w:sz w:val="20"/>
          <w:szCs w:val="20"/>
          <w:lang w:val="en-US"/>
        </w:rPr>
      </w:pPr>
      <w:r w:rsidRPr="00F86740">
        <w:rPr>
          <w:sz w:val="20"/>
          <w:szCs w:val="20"/>
          <w:lang w:val="en-US"/>
        </w:rPr>
        <w:t xml:space="preserve">The UMAX </w:t>
      </w:r>
      <w:r w:rsidR="00FA7A79">
        <w:rPr>
          <w:sz w:val="20"/>
          <w:szCs w:val="20"/>
          <w:lang w:val="en-US"/>
        </w:rPr>
        <w:t>total return was</w:t>
      </w:r>
      <w:r w:rsidR="00C32D3E">
        <w:rPr>
          <w:sz w:val="20"/>
          <w:szCs w:val="20"/>
          <w:lang w:val="en-US"/>
        </w:rPr>
        <w:t xml:space="preserve"> </w:t>
      </w:r>
      <w:r w:rsidR="003E2F9E">
        <w:rPr>
          <w:sz w:val="20"/>
          <w:szCs w:val="20"/>
          <w:lang w:val="en-US"/>
        </w:rPr>
        <w:t>2.52</w:t>
      </w:r>
      <w:r w:rsidR="00C32D3E">
        <w:rPr>
          <w:sz w:val="20"/>
          <w:szCs w:val="20"/>
          <w:lang w:val="en-US"/>
        </w:rPr>
        <w:t>%</w:t>
      </w:r>
      <w:r w:rsidR="00DA7614">
        <w:rPr>
          <w:sz w:val="20"/>
          <w:szCs w:val="20"/>
          <w:lang w:val="en-US"/>
        </w:rPr>
        <w:t xml:space="preserve"> between </w:t>
      </w:r>
      <w:r w:rsidR="00C32D3E">
        <w:rPr>
          <w:sz w:val="20"/>
          <w:szCs w:val="20"/>
          <w:lang w:val="en-US"/>
        </w:rPr>
        <w:t>20 December 2019 and 17 January 2020</w:t>
      </w:r>
      <w:r w:rsidR="00C10303">
        <w:rPr>
          <w:sz w:val="20"/>
          <w:szCs w:val="20"/>
          <w:lang w:val="en-US"/>
        </w:rPr>
        <w:t xml:space="preserve"> (“</w:t>
      </w:r>
      <w:r w:rsidR="00C32D3E">
        <w:rPr>
          <w:sz w:val="20"/>
          <w:szCs w:val="20"/>
          <w:lang w:val="en-US"/>
        </w:rPr>
        <w:t>January Option Period” or “January</w:t>
      </w:r>
      <w:r w:rsidR="00D7450D">
        <w:rPr>
          <w:sz w:val="20"/>
          <w:szCs w:val="20"/>
          <w:lang w:val="en-US"/>
        </w:rPr>
        <w:t xml:space="preserve"> </w:t>
      </w:r>
      <w:r w:rsidRPr="00F86740">
        <w:rPr>
          <w:sz w:val="20"/>
          <w:szCs w:val="20"/>
          <w:lang w:val="en-US"/>
        </w:rPr>
        <w:t>Period”). The S&amp;P 500® Index (the “S&amp;P 500” or “I</w:t>
      </w:r>
      <w:r>
        <w:rPr>
          <w:sz w:val="20"/>
          <w:szCs w:val="20"/>
          <w:lang w:val="en-US"/>
        </w:rPr>
        <w:t>n</w:t>
      </w:r>
      <w:r w:rsidR="001239A9">
        <w:rPr>
          <w:sz w:val="20"/>
          <w:szCs w:val="20"/>
          <w:lang w:val="en-US"/>
        </w:rPr>
        <w:t>d</w:t>
      </w:r>
      <w:r w:rsidR="00DA7614">
        <w:rPr>
          <w:sz w:val="20"/>
          <w:szCs w:val="20"/>
          <w:lang w:val="en-US"/>
        </w:rPr>
        <w:t>e</w:t>
      </w:r>
      <w:r w:rsidR="00033FCF">
        <w:rPr>
          <w:sz w:val="20"/>
          <w:szCs w:val="20"/>
          <w:lang w:val="en-US"/>
        </w:rPr>
        <w:t>x”) had a total return of</w:t>
      </w:r>
      <w:r w:rsidR="00C32D3E">
        <w:rPr>
          <w:sz w:val="20"/>
          <w:szCs w:val="20"/>
          <w:lang w:val="en-US"/>
        </w:rPr>
        <w:t xml:space="preserve"> 3.82%</w:t>
      </w:r>
      <w:r w:rsidRPr="00F86740">
        <w:rPr>
          <w:sz w:val="20"/>
          <w:szCs w:val="20"/>
          <w:lang w:val="en-US"/>
        </w:rPr>
        <w:t>, in AUD</w:t>
      </w:r>
      <w:r w:rsidR="00F2195C">
        <w:rPr>
          <w:sz w:val="20"/>
          <w:szCs w:val="20"/>
          <w:lang w:val="en-US"/>
        </w:rPr>
        <w:t xml:space="preserve"> </w:t>
      </w:r>
      <w:r w:rsidR="00D15417">
        <w:rPr>
          <w:sz w:val="20"/>
          <w:szCs w:val="20"/>
          <w:lang w:val="en-US"/>
        </w:rPr>
        <w:t>terms</w:t>
      </w:r>
      <w:r w:rsidR="002B1211">
        <w:rPr>
          <w:sz w:val="20"/>
          <w:szCs w:val="20"/>
          <w:lang w:val="en-US"/>
        </w:rPr>
        <w:t>,</w:t>
      </w:r>
      <w:r w:rsidR="00F80399">
        <w:rPr>
          <w:sz w:val="20"/>
          <w:szCs w:val="20"/>
          <w:lang w:val="en-US"/>
        </w:rPr>
        <w:t xml:space="preserve"> during the same</w:t>
      </w:r>
      <w:r w:rsidR="0031299C">
        <w:rPr>
          <w:sz w:val="20"/>
          <w:szCs w:val="20"/>
          <w:lang w:val="en-US"/>
        </w:rPr>
        <w:t xml:space="preserve"> January </w:t>
      </w:r>
      <w:r w:rsidR="00B160E2">
        <w:rPr>
          <w:sz w:val="20"/>
          <w:szCs w:val="20"/>
          <w:lang w:val="en-US"/>
        </w:rPr>
        <w:t>Period</w:t>
      </w:r>
      <w:r w:rsidR="00CE0956">
        <w:rPr>
          <w:sz w:val="20"/>
          <w:szCs w:val="20"/>
          <w:lang w:val="en-US"/>
        </w:rPr>
        <w:t xml:space="preserve">.  </w:t>
      </w:r>
      <w:r w:rsidR="00AB579B">
        <w:rPr>
          <w:sz w:val="20"/>
          <w:szCs w:val="20"/>
          <w:lang w:val="en-US"/>
        </w:rPr>
        <w:t xml:space="preserve">The Index </w:t>
      </w:r>
      <w:r w:rsidR="00C32D3E">
        <w:rPr>
          <w:sz w:val="20"/>
          <w:szCs w:val="20"/>
          <w:lang w:val="en-US"/>
        </w:rPr>
        <w:t>continued where it left off during the previous December Period</w:t>
      </w:r>
      <w:r w:rsidR="0031299C">
        <w:rPr>
          <w:sz w:val="20"/>
          <w:szCs w:val="20"/>
          <w:lang w:val="en-US"/>
        </w:rPr>
        <w:t>, proceeding higher into the end of the year and into the beginning of the 2020 year</w:t>
      </w:r>
      <w:r w:rsidR="00C32D3E">
        <w:rPr>
          <w:sz w:val="20"/>
          <w:szCs w:val="20"/>
          <w:lang w:val="en-US"/>
        </w:rPr>
        <w:t>.</w:t>
      </w:r>
      <w:r w:rsidR="0031299C">
        <w:rPr>
          <w:sz w:val="20"/>
          <w:szCs w:val="20"/>
          <w:lang w:val="en-US"/>
        </w:rPr>
        <w:t xml:space="preserve"> The</w:t>
      </w:r>
      <w:r w:rsidR="00771E3B">
        <w:rPr>
          <w:sz w:val="20"/>
          <w:szCs w:val="20"/>
          <w:lang w:val="en-US"/>
        </w:rPr>
        <w:t>” Santa Claus effect”,</w:t>
      </w:r>
      <w:r w:rsidR="0031299C">
        <w:rPr>
          <w:sz w:val="20"/>
          <w:szCs w:val="20"/>
          <w:lang w:val="en-US"/>
        </w:rPr>
        <w:t xml:space="preserve"> mentioned previously</w:t>
      </w:r>
      <w:r w:rsidR="00771E3B">
        <w:rPr>
          <w:sz w:val="20"/>
          <w:szCs w:val="20"/>
          <w:lang w:val="en-US"/>
        </w:rPr>
        <w:t xml:space="preserve"> where investors buy equities into the end of the year</w:t>
      </w:r>
      <w:r w:rsidR="0031299C">
        <w:rPr>
          <w:sz w:val="20"/>
          <w:szCs w:val="20"/>
          <w:lang w:val="en-US"/>
        </w:rPr>
        <w:t>, seemed to continue unabated</w:t>
      </w:r>
      <w:r w:rsidR="00771E3B">
        <w:rPr>
          <w:sz w:val="20"/>
          <w:szCs w:val="20"/>
          <w:lang w:val="en-US"/>
        </w:rPr>
        <w:t>.</w:t>
      </w:r>
      <w:r w:rsidR="00CD509D">
        <w:rPr>
          <w:sz w:val="20"/>
          <w:szCs w:val="20"/>
          <w:lang w:val="en-US"/>
        </w:rPr>
        <w:t xml:space="preserve"> Shares signa</w:t>
      </w:r>
      <w:r w:rsidR="0031299C">
        <w:rPr>
          <w:sz w:val="20"/>
          <w:szCs w:val="20"/>
          <w:lang w:val="en-US"/>
        </w:rPr>
        <w:t>led a brief pause between the Christmas and New Year holidays, but traded higher after that, reaching new all-time highs in the process.</w:t>
      </w:r>
      <w:r w:rsidR="006002C4">
        <w:rPr>
          <w:sz w:val="20"/>
          <w:szCs w:val="20"/>
          <w:lang w:val="en-US"/>
        </w:rPr>
        <w:t xml:space="preserve"> </w:t>
      </w:r>
      <w:r w:rsidR="00CD509D">
        <w:rPr>
          <w:sz w:val="20"/>
          <w:szCs w:val="20"/>
          <w:lang w:val="en-US"/>
        </w:rPr>
        <w:t xml:space="preserve"> </w:t>
      </w:r>
      <w:r w:rsidR="006002C4">
        <w:rPr>
          <w:sz w:val="20"/>
          <w:szCs w:val="20"/>
          <w:lang w:val="en-US"/>
        </w:rPr>
        <w:t>While the end o</w:t>
      </w:r>
      <w:r w:rsidR="00CD509D">
        <w:rPr>
          <w:sz w:val="20"/>
          <w:szCs w:val="20"/>
          <w:lang w:val="en-US"/>
        </w:rPr>
        <w:t>f 2018 and beginning of 2019</w:t>
      </w:r>
      <w:r w:rsidR="00064A23">
        <w:rPr>
          <w:sz w:val="20"/>
          <w:szCs w:val="20"/>
          <w:lang w:val="en-US"/>
        </w:rPr>
        <w:t xml:space="preserve"> will be remembered for </w:t>
      </w:r>
      <w:r w:rsidR="00CD509D">
        <w:rPr>
          <w:sz w:val="20"/>
          <w:szCs w:val="20"/>
          <w:lang w:val="en-US"/>
        </w:rPr>
        <w:t>high</w:t>
      </w:r>
      <w:r w:rsidR="006002C4">
        <w:rPr>
          <w:sz w:val="20"/>
          <w:szCs w:val="20"/>
          <w:lang w:val="en-US"/>
        </w:rPr>
        <w:t xml:space="preserve"> volatility </w:t>
      </w:r>
      <w:r w:rsidR="00064A23">
        <w:rPr>
          <w:sz w:val="20"/>
          <w:szCs w:val="20"/>
          <w:lang w:val="en-US"/>
        </w:rPr>
        <w:t>and the Fed taper</w:t>
      </w:r>
      <w:r w:rsidR="006002C4">
        <w:rPr>
          <w:sz w:val="20"/>
          <w:szCs w:val="20"/>
          <w:lang w:val="en-US"/>
        </w:rPr>
        <w:t xml:space="preserve"> tantrum,</w:t>
      </w:r>
      <w:r w:rsidR="00CD509D">
        <w:rPr>
          <w:sz w:val="20"/>
          <w:szCs w:val="20"/>
          <w:lang w:val="en-US"/>
        </w:rPr>
        <w:t xml:space="preserve"> the end of 2019 </w:t>
      </w:r>
      <w:r w:rsidR="00064A23">
        <w:rPr>
          <w:sz w:val="20"/>
          <w:szCs w:val="20"/>
          <w:lang w:val="en-US"/>
        </w:rPr>
        <w:t>will b</w:t>
      </w:r>
      <w:r w:rsidR="00CD509D">
        <w:rPr>
          <w:sz w:val="20"/>
          <w:szCs w:val="20"/>
          <w:lang w:val="en-US"/>
        </w:rPr>
        <w:t xml:space="preserve">e more likely remembered for a lack of volatility and </w:t>
      </w:r>
      <w:r w:rsidR="007551AC">
        <w:rPr>
          <w:sz w:val="20"/>
          <w:szCs w:val="20"/>
          <w:lang w:val="en-US"/>
        </w:rPr>
        <w:t xml:space="preserve">a </w:t>
      </w:r>
      <w:r w:rsidR="00CD509D">
        <w:rPr>
          <w:sz w:val="20"/>
          <w:szCs w:val="20"/>
          <w:lang w:val="en-US"/>
        </w:rPr>
        <w:t>mostly</w:t>
      </w:r>
      <w:r w:rsidR="00064A23">
        <w:rPr>
          <w:sz w:val="20"/>
          <w:szCs w:val="20"/>
          <w:lang w:val="en-US"/>
        </w:rPr>
        <w:t xml:space="preserve"> rosy outlook.</w:t>
      </w:r>
      <w:r w:rsidR="006002C4">
        <w:rPr>
          <w:sz w:val="20"/>
          <w:szCs w:val="20"/>
          <w:lang w:val="en-US"/>
        </w:rPr>
        <w:t xml:space="preserve"> </w:t>
      </w:r>
      <w:r w:rsidR="00FD02A5">
        <w:rPr>
          <w:sz w:val="20"/>
          <w:szCs w:val="20"/>
          <w:lang w:val="en-US"/>
        </w:rPr>
        <w:t xml:space="preserve">Technology shares continued to lead the overall market higher. </w:t>
      </w:r>
      <w:r w:rsidR="00CD509D">
        <w:rPr>
          <w:sz w:val="20"/>
          <w:szCs w:val="20"/>
          <w:lang w:val="en-US"/>
        </w:rPr>
        <w:t xml:space="preserve"> </w:t>
      </w:r>
      <w:r w:rsidR="00FD02A5">
        <w:rPr>
          <w:sz w:val="20"/>
          <w:szCs w:val="20"/>
          <w:lang w:val="en-US"/>
        </w:rPr>
        <w:t>Apple Inc. (“AAPL”), the largest company in the Index, was the second best performer in the</w:t>
      </w:r>
      <w:r w:rsidR="00A67B90">
        <w:rPr>
          <w:sz w:val="20"/>
          <w:szCs w:val="20"/>
          <w:lang w:val="en-US"/>
        </w:rPr>
        <w:t xml:space="preserve"> technology </w:t>
      </w:r>
      <w:r w:rsidR="00FD02A5">
        <w:rPr>
          <w:sz w:val="20"/>
          <w:szCs w:val="20"/>
          <w:lang w:val="en-US"/>
        </w:rPr>
        <w:t>sector</w:t>
      </w:r>
      <w:r w:rsidR="00CD509D">
        <w:rPr>
          <w:sz w:val="20"/>
          <w:szCs w:val="20"/>
          <w:lang w:val="en-US"/>
        </w:rPr>
        <w:t>,</w:t>
      </w:r>
      <w:r w:rsidR="00FD02A5">
        <w:rPr>
          <w:sz w:val="20"/>
          <w:szCs w:val="20"/>
          <w:lang w:val="en-US"/>
        </w:rPr>
        <w:t xml:space="preserve"> returning 14%. </w:t>
      </w:r>
      <w:r w:rsidR="00CD509D">
        <w:rPr>
          <w:sz w:val="20"/>
          <w:szCs w:val="20"/>
          <w:lang w:val="en-US"/>
        </w:rPr>
        <w:t xml:space="preserve"> </w:t>
      </w:r>
      <w:r w:rsidR="00552273">
        <w:rPr>
          <w:sz w:val="20"/>
          <w:szCs w:val="20"/>
          <w:lang w:val="en-US"/>
        </w:rPr>
        <w:t xml:space="preserve">All sectors did well during the January Period, with only one sector trading lower. </w:t>
      </w:r>
      <w:r w:rsidR="00FD02A5">
        <w:rPr>
          <w:sz w:val="20"/>
          <w:szCs w:val="20"/>
          <w:lang w:val="en-US"/>
        </w:rPr>
        <w:t xml:space="preserve">With the market behaving well, volatility continued its trend lower during the January Option Period.  </w:t>
      </w:r>
      <w:r w:rsidR="00BF2BEC">
        <w:rPr>
          <w:sz w:val="20"/>
          <w:szCs w:val="20"/>
          <w:lang w:val="en-US"/>
        </w:rPr>
        <w:t>The</w:t>
      </w:r>
      <w:r w:rsidR="000C3CCB">
        <w:rPr>
          <w:sz w:val="20"/>
          <w:szCs w:val="20"/>
          <w:lang w:val="en-US"/>
        </w:rPr>
        <w:t xml:space="preserve"> VIX volatility Index </w:t>
      </w:r>
      <w:r w:rsidR="006E1686">
        <w:rPr>
          <w:sz w:val="20"/>
          <w:szCs w:val="20"/>
          <w:lang w:val="en-US"/>
        </w:rPr>
        <w:t>ended the</w:t>
      </w:r>
      <w:r w:rsidR="00FD02A5">
        <w:rPr>
          <w:sz w:val="20"/>
          <w:szCs w:val="20"/>
          <w:lang w:val="en-US"/>
        </w:rPr>
        <w:t xml:space="preserve"> January Option Period slightly lower, closing just above 12</w:t>
      </w:r>
      <w:r w:rsidR="006E1686">
        <w:rPr>
          <w:sz w:val="20"/>
          <w:szCs w:val="20"/>
          <w:lang w:val="en-US"/>
        </w:rPr>
        <w:t xml:space="preserve">.  </w:t>
      </w:r>
      <w:r w:rsidR="00CD43A8">
        <w:rPr>
          <w:sz w:val="20"/>
          <w:szCs w:val="20"/>
          <w:lang w:val="en-US"/>
        </w:rPr>
        <w:t xml:space="preserve">The </w:t>
      </w:r>
      <w:r w:rsidR="001B13CB">
        <w:rPr>
          <w:sz w:val="20"/>
          <w:szCs w:val="20"/>
          <w:lang w:val="en-US"/>
        </w:rPr>
        <w:t>new</w:t>
      </w:r>
      <w:r w:rsidR="00C10303">
        <w:rPr>
          <w:sz w:val="20"/>
          <w:szCs w:val="20"/>
          <w:lang w:val="en-US"/>
        </w:rPr>
        <w:t xml:space="preserve"> </w:t>
      </w:r>
      <w:r w:rsidR="00CC64C6">
        <w:rPr>
          <w:sz w:val="20"/>
          <w:szCs w:val="20"/>
          <w:lang w:val="en-US"/>
        </w:rPr>
        <w:t>February</w:t>
      </w:r>
      <w:r w:rsidR="00C10303">
        <w:rPr>
          <w:sz w:val="20"/>
          <w:szCs w:val="20"/>
          <w:lang w:val="en-US"/>
        </w:rPr>
        <w:t xml:space="preserve"> 2020 </w:t>
      </w:r>
      <w:r w:rsidRPr="00F86740">
        <w:rPr>
          <w:sz w:val="20"/>
          <w:szCs w:val="20"/>
          <w:lang w:val="en-US"/>
        </w:rPr>
        <w:t>options were written wi</w:t>
      </w:r>
      <w:r w:rsidR="006527CD">
        <w:rPr>
          <w:sz w:val="20"/>
          <w:szCs w:val="20"/>
          <w:lang w:val="en-US"/>
        </w:rPr>
        <w:t>th</w:t>
      </w:r>
      <w:r w:rsidR="001D636E">
        <w:rPr>
          <w:sz w:val="20"/>
          <w:szCs w:val="20"/>
          <w:lang w:val="en-US"/>
        </w:rPr>
        <w:t xml:space="preserve"> approximately 9</w:t>
      </w:r>
      <w:r w:rsidR="00C10303">
        <w:rPr>
          <w:sz w:val="20"/>
          <w:szCs w:val="20"/>
          <w:lang w:val="en-US"/>
        </w:rPr>
        <w:t>7</w:t>
      </w:r>
      <w:r w:rsidR="003D1485">
        <w:rPr>
          <w:sz w:val="20"/>
          <w:szCs w:val="20"/>
          <w:lang w:val="en-US"/>
        </w:rPr>
        <w:t xml:space="preserve">% </w:t>
      </w:r>
      <w:r w:rsidR="00C10303">
        <w:rPr>
          <w:sz w:val="20"/>
          <w:szCs w:val="20"/>
          <w:lang w:val="en-US"/>
        </w:rPr>
        <w:t>coverage, 1.7</w:t>
      </w:r>
      <w:r w:rsidRPr="00F86740">
        <w:rPr>
          <w:sz w:val="20"/>
          <w:szCs w:val="20"/>
          <w:lang w:val="en-US"/>
        </w:rPr>
        <w:t xml:space="preserve">% out-of-the money and to an </w:t>
      </w:r>
      <w:r w:rsidR="00C316BA">
        <w:rPr>
          <w:sz w:val="20"/>
          <w:szCs w:val="20"/>
          <w:lang w:val="en-US"/>
        </w:rPr>
        <w:t>initial portfolio de</w:t>
      </w:r>
      <w:r w:rsidR="00CC64C6">
        <w:rPr>
          <w:sz w:val="20"/>
          <w:szCs w:val="20"/>
          <w:lang w:val="en-US"/>
        </w:rPr>
        <w:t>lta of -0.25</w:t>
      </w:r>
      <w:r w:rsidRPr="00F86740">
        <w:rPr>
          <w:sz w:val="20"/>
          <w:szCs w:val="20"/>
          <w:lang w:val="en-US"/>
        </w:rPr>
        <w:t xml:space="preserve">.   </w:t>
      </w:r>
    </w:p>
    <w:p w14:paraId="25065850" w14:textId="77777777" w:rsidR="00612DC4" w:rsidRDefault="00612DC4" w:rsidP="003862D7">
      <w:pPr>
        <w:spacing w:after="0" w:line="240" w:lineRule="auto"/>
        <w:rPr>
          <w:sz w:val="20"/>
          <w:szCs w:val="20"/>
          <w:lang w:val="en-US"/>
        </w:rPr>
      </w:pPr>
    </w:p>
    <w:p w14:paraId="7F76C24F" w14:textId="77777777" w:rsidR="00D31028" w:rsidRDefault="00D31028" w:rsidP="003862D7">
      <w:pPr>
        <w:spacing w:after="0" w:line="240" w:lineRule="auto"/>
        <w:rPr>
          <w:sz w:val="4"/>
          <w:szCs w:val="4"/>
          <w:u w:val="single"/>
          <w:lang w:val="en-US"/>
        </w:rPr>
      </w:pPr>
    </w:p>
    <w:p w14:paraId="0A095B52" w14:textId="77777777" w:rsidR="001A16C6" w:rsidRPr="00797A8B" w:rsidRDefault="001A16C6" w:rsidP="003862D7">
      <w:pPr>
        <w:spacing w:after="0" w:line="240" w:lineRule="auto"/>
        <w:rPr>
          <w:sz w:val="4"/>
          <w:szCs w:val="4"/>
          <w:u w:val="single"/>
          <w:lang w:val="en-US"/>
        </w:rPr>
        <w:sectPr w:rsidR="001A16C6" w:rsidRPr="00797A8B" w:rsidSect="005267F7">
          <w:headerReference w:type="default" r:id="rId8"/>
          <w:pgSz w:w="12240" w:h="15840"/>
          <w:pgMar w:top="1296" w:right="1041" w:bottom="1296" w:left="1440" w:header="706" w:footer="706" w:gutter="0"/>
          <w:cols w:space="708"/>
          <w:docGrid w:linePitch="360"/>
        </w:sectPr>
      </w:pPr>
    </w:p>
    <w:p w14:paraId="24010DC4" w14:textId="77777777" w:rsidR="0030057A" w:rsidRPr="0030057A" w:rsidRDefault="003E4562" w:rsidP="00D1762B">
      <w:pPr>
        <w:spacing w:after="0" w:line="100" w:lineRule="atLeast"/>
        <w:jc w:val="both"/>
        <w:rPr>
          <w:b/>
          <w:sz w:val="20"/>
          <w:szCs w:val="20"/>
          <w:lang w:val="en-US"/>
        </w:rPr>
      </w:pPr>
      <w:r>
        <w:rPr>
          <w:b/>
          <w:sz w:val="20"/>
          <w:szCs w:val="20"/>
          <w:u w:val="single"/>
          <w:lang w:val="en-US"/>
        </w:rPr>
        <w:t>Information Technology</w:t>
      </w:r>
      <w:r w:rsidR="003066E0">
        <w:rPr>
          <w:b/>
          <w:sz w:val="20"/>
          <w:szCs w:val="20"/>
          <w:lang w:val="en-US"/>
        </w:rPr>
        <w:t xml:space="preserve"> (</w:t>
      </w:r>
      <w:r w:rsidR="005F5A82">
        <w:rPr>
          <w:b/>
          <w:sz w:val="20"/>
          <w:szCs w:val="20"/>
          <w:lang w:val="en-US"/>
        </w:rPr>
        <w:t>Index weight</w:t>
      </w:r>
      <w:r w:rsidR="00D648F5">
        <w:rPr>
          <w:b/>
          <w:sz w:val="20"/>
          <w:szCs w:val="20"/>
          <w:lang w:val="en-US"/>
        </w:rPr>
        <w:t>:</w:t>
      </w:r>
      <w:r w:rsidR="00A67B90">
        <w:rPr>
          <w:b/>
          <w:sz w:val="20"/>
          <w:szCs w:val="20"/>
          <w:lang w:val="en-US"/>
        </w:rPr>
        <w:t xml:space="preserve"> 23.9</w:t>
      </w:r>
      <w:r w:rsidR="00494BC2">
        <w:rPr>
          <w:b/>
          <w:sz w:val="20"/>
          <w:szCs w:val="20"/>
          <w:lang w:val="en-US"/>
        </w:rPr>
        <w:t>%</w:t>
      </w:r>
      <w:r w:rsidR="00D1762B">
        <w:rPr>
          <w:b/>
          <w:sz w:val="20"/>
          <w:szCs w:val="20"/>
          <w:lang w:val="en-US"/>
        </w:rPr>
        <w:t>)</w:t>
      </w:r>
    </w:p>
    <w:p w14:paraId="5779DBCA" w14:textId="622D11E0" w:rsidR="00345CDC" w:rsidRDefault="00A67B90" w:rsidP="008A53A0">
      <w:pPr>
        <w:spacing w:after="0" w:line="100" w:lineRule="atLeast"/>
        <w:jc w:val="both"/>
        <w:rPr>
          <w:sz w:val="20"/>
          <w:szCs w:val="20"/>
          <w:lang w:val="en-US"/>
        </w:rPr>
      </w:pPr>
      <w:r>
        <w:rPr>
          <w:sz w:val="20"/>
          <w:szCs w:val="20"/>
          <w:lang w:val="en-US"/>
        </w:rPr>
        <w:t>As it has been many times in the past year, t</w:t>
      </w:r>
      <w:r w:rsidR="008D4BC2" w:rsidRPr="008D4BC2">
        <w:rPr>
          <w:sz w:val="20"/>
          <w:szCs w:val="20"/>
          <w:lang w:val="en-US"/>
        </w:rPr>
        <w:t>he Informa</w:t>
      </w:r>
      <w:r w:rsidR="008D4BC2">
        <w:rPr>
          <w:sz w:val="20"/>
          <w:szCs w:val="20"/>
          <w:lang w:val="en-US"/>
        </w:rPr>
        <w:t>tion Technology sector</w:t>
      </w:r>
      <w:r w:rsidR="00345CDC">
        <w:rPr>
          <w:sz w:val="20"/>
          <w:szCs w:val="20"/>
          <w:lang w:val="en-US"/>
        </w:rPr>
        <w:t xml:space="preserve"> </w:t>
      </w:r>
      <w:r>
        <w:rPr>
          <w:sz w:val="20"/>
          <w:szCs w:val="20"/>
          <w:lang w:val="en-US"/>
        </w:rPr>
        <w:t xml:space="preserve">was the best performing sector in the Index, increasing 6.8% during </w:t>
      </w:r>
      <w:r w:rsidR="002B28B7">
        <w:rPr>
          <w:sz w:val="20"/>
          <w:szCs w:val="20"/>
          <w:lang w:val="en-US"/>
        </w:rPr>
        <w:t>the</w:t>
      </w:r>
      <w:r>
        <w:rPr>
          <w:sz w:val="20"/>
          <w:szCs w:val="20"/>
          <w:lang w:val="en-US"/>
        </w:rPr>
        <w:t xml:space="preserve"> January Option Period. AAPL led the entire sector higher</w:t>
      </w:r>
      <w:r w:rsidR="00E205B3">
        <w:rPr>
          <w:sz w:val="20"/>
          <w:szCs w:val="20"/>
          <w:lang w:val="en-US"/>
        </w:rPr>
        <w:t>,</w:t>
      </w:r>
      <w:r w:rsidR="00CD509D">
        <w:rPr>
          <w:sz w:val="20"/>
          <w:szCs w:val="20"/>
          <w:lang w:val="en-US"/>
        </w:rPr>
        <w:t xml:space="preserve"> </w:t>
      </w:r>
      <w:r w:rsidR="007551AC">
        <w:rPr>
          <w:sz w:val="20"/>
          <w:szCs w:val="20"/>
          <w:lang w:val="en-US"/>
        </w:rPr>
        <w:t>in</w:t>
      </w:r>
      <w:r w:rsidR="00CD509D">
        <w:rPr>
          <w:sz w:val="20"/>
          <w:szCs w:val="20"/>
          <w:lang w:val="en-US"/>
        </w:rPr>
        <w:t>creasing 14% during the</w:t>
      </w:r>
      <w:r>
        <w:rPr>
          <w:sz w:val="20"/>
          <w:szCs w:val="20"/>
          <w:lang w:val="en-US"/>
        </w:rPr>
        <w:t xml:space="preserve"> P</w:t>
      </w:r>
      <w:r w:rsidR="00CD509D">
        <w:rPr>
          <w:sz w:val="20"/>
          <w:szCs w:val="20"/>
          <w:lang w:val="en-US"/>
        </w:rPr>
        <w:t>eriod.  Software stocks also performed</w:t>
      </w:r>
      <w:r>
        <w:rPr>
          <w:sz w:val="20"/>
          <w:szCs w:val="20"/>
          <w:lang w:val="en-US"/>
        </w:rPr>
        <w:t xml:space="preserve"> well, with all 18 companies in the subsector </w:t>
      </w:r>
      <w:r w:rsidR="00CD509D">
        <w:rPr>
          <w:sz w:val="20"/>
          <w:szCs w:val="20"/>
          <w:lang w:val="en-US"/>
        </w:rPr>
        <w:t>advancing</w:t>
      </w:r>
      <w:r>
        <w:rPr>
          <w:sz w:val="20"/>
          <w:szCs w:val="20"/>
          <w:lang w:val="en-US"/>
        </w:rPr>
        <w:t xml:space="preserve"> during the period, 13 of which rose in excess of 5%</w:t>
      </w:r>
      <w:r w:rsidR="00CD509D">
        <w:rPr>
          <w:sz w:val="20"/>
          <w:szCs w:val="20"/>
          <w:lang w:val="en-US"/>
        </w:rPr>
        <w:t>.</w:t>
      </w:r>
      <w:r>
        <w:rPr>
          <w:sz w:val="20"/>
          <w:szCs w:val="20"/>
          <w:lang w:val="en-US"/>
        </w:rPr>
        <w:t xml:space="preserve"> </w:t>
      </w:r>
    </w:p>
    <w:p w14:paraId="69C9DCFB" w14:textId="77777777" w:rsidR="008A53A0" w:rsidRPr="002E087C" w:rsidRDefault="003E4562" w:rsidP="008A53A0">
      <w:pPr>
        <w:spacing w:after="0" w:line="100" w:lineRule="atLeast"/>
        <w:jc w:val="both"/>
        <w:rPr>
          <w:b/>
          <w:sz w:val="20"/>
          <w:szCs w:val="20"/>
          <w:lang w:val="en-US"/>
        </w:rPr>
      </w:pPr>
      <w:r w:rsidRPr="002E087C">
        <w:rPr>
          <w:b/>
          <w:sz w:val="20"/>
          <w:szCs w:val="20"/>
          <w:u w:val="single"/>
          <w:lang w:val="en-US"/>
        </w:rPr>
        <w:t>Financials</w:t>
      </w:r>
      <w:r w:rsidR="003066E0" w:rsidRPr="002E087C">
        <w:rPr>
          <w:b/>
          <w:sz w:val="20"/>
          <w:szCs w:val="20"/>
          <w:lang w:val="en-US"/>
        </w:rPr>
        <w:t xml:space="preserve"> (</w:t>
      </w:r>
      <w:r w:rsidR="005F5A82" w:rsidRPr="002E087C">
        <w:rPr>
          <w:b/>
          <w:sz w:val="20"/>
          <w:szCs w:val="20"/>
          <w:lang w:val="en-US"/>
        </w:rPr>
        <w:t>Index weight</w:t>
      </w:r>
      <w:r w:rsidR="00A439E6" w:rsidRPr="002E087C">
        <w:rPr>
          <w:b/>
          <w:sz w:val="20"/>
          <w:szCs w:val="20"/>
          <w:lang w:val="en-US"/>
        </w:rPr>
        <w:t xml:space="preserve">: </w:t>
      </w:r>
      <w:r w:rsidR="00206A26">
        <w:rPr>
          <w:b/>
          <w:sz w:val="20"/>
          <w:szCs w:val="20"/>
          <w:lang w:val="en-US"/>
        </w:rPr>
        <w:t>12.7</w:t>
      </w:r>
      <w:r w:rsidR="00D1762B" w:rsidRPr="002E087C">
        <w:rPr>
          <w:b/>
          <w:sz w:val="20"/>
          <w:szCs w:val="20"/>
          <w:lang w:val="en-US"/>
        </w:rPr>
        <w:t>%)</w:t>
      </w:r>
    </w:p>
    <w:p w14:paraId="7E65DAA9" w14:textId="77777777" w:rsidR="005C6153" w:rsidRDefault="002968EA" w:rsidP="001E1323">
      <w:pPr>
        <w:pStyle w:val="Standard"/>
        <w:spacing w:after="0" w:line="100" w:lineRule="atLeast"/>
        <w:jc w:val="both"/>
        <w:rPr>
          <w:sz w:val="20"/>
          <w:szCs w:val="20"/>
          <w:lang w:val="en-US"/>
        </w:rPr>
      </w:pPr>
      <w:r w:rsidRPr="002968EA">
        <w:rPr>
          <w:sz w:val="20"/>
          <w:szCs w:val="20"/>
          <w:lang w:val="en-US"/>
        </w:rPr>
        <w:t>Financials</w:t>
      </w:r>
      <w:r w:rsidR="008B5456">
        <w:rPr>
          <w:sz w:val="20"/>
          <w:szCs w:val="20"/>
          <w:lang w:val="en-US"/>
        </w:rPr>
        <w:t xml:space="preserve"> shares were higher</w:t>
      </w:r>
      <w:r w:rsidR="00CD509D">
        <w:rPr>
          <w:sz w:val="20"/>
          <w:szCs w:val="20"/>
          <w:lang w:val="en-US"/>
        </w:rPr>
        <w:t>,</w:t>
      </w:r>
      <w:r w:rsidR="008B5456">
        <w:rPr>
          <w:sz w:val="20"/>
          <w:szCs w:val="20"/>
          <w:lang w:val="en-US"/>
        </w:rPr>
        <w:t xml:space="preserve"> but nonetheless underperformed the Index during </w:t>
      </w:r>
      <w:r w:rsidR="0071201D">
        <w:rPr>
          <w:sz w:val="20"/>
          <w:szCs w:val="20"/>
          <w:lang w:val="en-US"/>
        </w:rPr>
        <w:t>the</w:t>
      </w:r>
      <w:r w:rsidR="008B5456">
        <w:rPr>
          <w:sz w:val="20"/>
          <w:szCs w:val="20"/>
          <w:lang w:val="en-US"/>
        </w:rPr>
        <w:t xml:space="preserve"> January </w:t>
      </w:r>
      <w:r w:rsidR="008F1841">
        <w:rPr>
          <w:sz w:val="20"/>
          <w:szCs w:val="20"/>
          <w:lang w:val="en-US"/>
        </w:rPr>
        <w:t>Option</w:t>
      </w:r>
      <w:r w:rsidR="00B4208D">
        <w:rPr>
          <w:sz w:val="20"/>
          <w:szCs w:val="20"/>
          <w:lang w:val="en-US"/>
        </w:rPr>
        <w:t xml:space="preserve"> Period</w:t>
      </w:r>
      <w:r w:rsidR="00C33377">
        <w:rPr>
          <w:sz w:val="20"/>
          <w:szCs w:val="20"/>
          <w:lang w:val="en-US"/>
        </w:rPr>
        <w:t>, returning 3.4%</w:t>
      </w:r>
      <w:r w:rsidR="00B4208D">
        <w:rPr>
          <w:sz w:val="20"/>
          <w:szCs w:val="20"/>
          <w:lang w:val="en-US"/>
        </w:rPr>
        <w:t>.</w:t>
      </w:r>
      <w:r w:rsidR="0071201D">
        <w:rPr>
          <w:sz w:val="20"/>
          <w:szCs w:val="20"/>
          <w:lang w:val="en-US"/>
        </w:rPr>
        <w:t xml:space="preserve"> </w:t>
      </w:r>
      <w:r w:rsidR="008B5456">
        <w:rPr>
          <w:sz w:val="20"/>
          <w:szCs w:val="20"/>
          <w:lang w:val="en-US"/>
        </w:rPr>
        <w:t xml:space="preserve">The period ended with a busy earnings season. Wells Fargo &amp; Co. (“WFC”), U.S. Bancorp (“USB”) and Bank of New York Mellon (“BNY”) were the largest disappointments during the latest </w:t>
      </w:r>
      <w:r w:rsidR="00CD509D">
        <w:rPr>
          <w:sz w:val="20"/>
          <w:szCs w:val="20"/>
          <w:lang w:val="en-US"/>
        </w:rPr>
        <w:t xml:space="preserve">slew of </w:t>
      </w:r>
      <w:r w:rsidR="008B5456">
        <w:rPr>
          <w:sz w:val="20"/>
          <w:szCs w:val="20"/>
          <w:lang w:val="en-US"/>
        </w:rPr>
        <w:t>earnings announcements</w:t>
      </w:r>
      <w:r w:rsidR="0029430B">
        <w:rPr>
          <w:sz w:val="20"/>
          <w:szCs w:val="20"/>
          <w:lang w:val="en-US"/>
        </w:rPr>
        <w:t xml:space="preserve">. </w:t>
      </w:r>
      <w:r w:rsidR="008B5456">
        <w:rPr>
          <w:sz w:val="20"/>
          <w:szCs w:val="20"/>
          <w:lang w:val="en-US"/>
        </w:rPr>
        <w:t xml:space="preserve">The CEO of Wells Fargo blamed </w:t>
      </w:r>
    </w:p>
    <w:p w14:paraId="402EFA9A" w14:textId="77777777" w:rsidR="005C6153" w:rsidRDefault="005C6153" w:rsidP="001E1323">
      <w:pPr>
        <w:pStyle w:val="Standard"/>
        <w:spacing w:after="0" w:line="100" w:lineRule="atLeast"/>
        <w:jc w:val="both"/>
        <w:rPr>
          <w:sz w:val="20"/>
          <w:szCs w:val="20"/>
          <w:lang w:val="en-US"/>
        </w:rPr>
      </w:pPr>
    </w:p>
    <w:p w14:paraId="668F6B8B" w14:textId="77777777" w:rsidR="005C6153" w:rsidRDefault="005C6153" w:rsidP="001E1323">
      <w:pPr>
        <w:pStyle w:val="Standard"/>
        <w:spacing w:after="0" w:line="100" w:lineRule="atLeast"/>
        <w:jc w:val="both"/>
        <w:rPr>
          <w:sz w:val="20"/>
          <w:szCs w:val="20"/>
          <w:lang w:val="en-US"/>
        </w:rPr>
      </w:pPr>
    </w:p>
    <w:p w14:paraId="002F8199" w14:textId="6550C481" w:rsidR="002C3CB8" w:rsidRDefault="007551AC" w:rsidP="001E1323">
      <w:pPr>
        <w:pStyle w:val="Standard"/>
        <w:spacing w:after="0" w:line="100" w:lineRule="atLeast"/>
        <w:jc w:val="both"/>
        <w:rPr>
          <w:sz w:val="20"/>
          <w:szCs w:val="20"/>
          <w:lang w:val="en-US"/>
        </w:rPr>
      </w:pPr>
      <w:r>
        <w:rPr>
          <w:sz w:val="20"/>
          <w:szCs w:val="20"/>
          <w:lang w:val="en-US"/>
        </w:rPr>
        <w:t xml:space="preserve">a </w:t>
      </w:r>
      <w:r w:rsidR="008B5456">
        <w:rPr>
          <w:sz w:val="20"/>
          <w:szCs w:val="20"/>
          <w:lang w:val="en-US"/>
        </w:rPr>
        <w:t xml:space="preserve">high cost structure and low interest rates for the disappointing earnings. </w:t>
      </w:r>
    </w:p>
    <w:p w14:paraId="398B7A16" w14:textId="77777777" w:rsidR="008F1841" w:rsidRDefault="008F1841" w:rsidP="009D00C7">
      <w:pPr>
        <w:spacing w:after="0" w:line="100" w:lineRule="atLeast"/>
        <w:jc w:val="both"/>
        <w:rPr>
          <w:b/>
          <w:sz w:val="20"/>
          <w:szCs w:val="20"/>
          <w:u w:val="single"/>
          <w:lang w:val="en-US"/>
        </w:rPr>
      </w:pPr>
    </w:p>
    <w:p w14:paraId="36D77DFA" w14:textId="77777777" w:rsidR="002F45DE" w:rsidRDefault="00261B2C" w:rsidP="009D00C7">
      <w:pPr>
        <w:spacing w:after="0" w:line="100" w:lineRule="atLeast"/>
        <w:jc w:val="both"/>
        <w:rPr>
          <w:sz w:val="20"/>
          <w:szCs w:val="20"/>
          <w:lang w:val="en-US"/>
        </w:rPr>
      </w:pPr>
      <w:r>
        <w:rPr>
          <w:b/>
          <w:sz w:val="20"/>
          <w:szCs w:val="20"/>
          <w:u w:val="single"/>
          <w:lang w:val="en-US"/>
        </w:rPr>
        <w:t>Real Estate</w:t>
      </w:r>
      <w:r w:rsidR="004718DE">
        <w:rPr>
          <w:b/>
          <w:sz w:val="20"/>
          <w:szCs w:val="20"/>
          <w:lang w:val="en-US"/>
        </w:rPr>
        <w:t xml:space="preserve"> (Index weight: </w:t>
      </w:r>
      <w:r w:rsidR="009F6B48">
        <w:rPr>
          <w:b/>
          <w:sz w:val="20"/>
          <w:szCs w:val="20"/>
          <w:lang w:val="en-US"/>
        </w:rPr>
        <w:t>2.9%</w:t>
      </w:r>
      <w:r>
        <w:rPr>
          <w:b/>
          <w:sz w:val="20"/>
          <w:szCs w:val="20"/>
          <w:lang w:val="en-US"/>
        </w:rPr>
        <w:t>)</w:t>
      </w:r>
    </w:p>
    <w:p w14:paraId="0408BBD6" w14:textId="4D6DFAF5" w:rsidR="00546005" w:rsidRDefault="00546005" w:rsidP="00345CDC">
      <w:pPr>
        <w:spacing w:after="0" w:line="100" w:lineRule="atLeast"/>
        <w:jc w:val="both"/>
        <w:rPr>
          <w:sz w:val="20"/>
          <w:szCs w:val="20"/>
          <w:lang w:val="en-US"/>
        </w:rPr>
      </w:pPr>
      <w:r>
        <w:rPr>
          <w:sz w:val="20"/>
          <w:szCs w:val="20"/>
          <w:lang w:val="en-US"/>
        </w:rPr>
        <w:t xml:space="preserve">The </w:t>
      </w:r>
      <w:r w:rsidR="007551AC">
        <w:rPr>
          <w:sz w:val="20"/>
          <w:szCs w:val="20"/>
          <w:lang w:val="en-US"/>
        </w:rPr>
        <w:t>R</w:t>
      </w:r>
      <w:r>
        <w:rPr>
          <w:sz w:val="20"/>
          <w:szCs w:val="20"/>
          <w:lang w:val="en-US"/>
        </w:rPr>
        <w:t xml:space="preserve">eal </w:t>
      </w:r>
      <w:r w:rsidR="007551AC">
        <w:rPr>
          <w:sz w:val="20"/>
          <w:szCs w:val="20"/>
          <w:lang w:val="en-US"/>
        </w:rPr>
        <w:t>E</w:t>
      </w:r>
      <w:r>
        <w:rPr>
          <w:sz w:val="20"/>
          <w:szCs w:val="20"/>
          <w:lang w:val="en-US"/>
        </w:rPr>
        <w:t xml:space="preserve">state sector </w:t>
      </w:r>
      <w:r w:rsidR="00861BB9">
        <w:rPr>
          <w:sz w:val="20"/>
          <w:szCs w:val="20"/>
          <w:lang w:val="en-US"/>
        </w:rPr>
        <w:t xml:space="preserve">rebounded somewhat during the January </w:t>
      </w:r>
      <w:r>
        <w:rPr>
          <w:sz w:val="20"/>
          <w:szCs w:val="20"/>
          <w:lang w:val="en-US"/>
        </w:rPr>
        <w:t>Option Period</w:t>
      </w:r>
      <w:r w:rsidR="00861BB9">
        <w:rPr>
          <w:sz w:val="20"/>
          <w:szCs w:val="20"/>
          <w:lang w:val="en-US"/>
        </w:rPr>
        <w:t>, increasing 3.3%</w:t>
      </w:r>
      <w:r>
        <w:rPr>
          <w:sz w:val="20"/>
          <w:szCs w:val="20"/>
          <w:lang w:val="en-US"/>
        </w:rPr>
        <w:t>.</w:t>
      </w:r>
      <w:r w:rsidR="00861BB9">
        <w:rPr>
          <w:sz w:val="20"/>
          <w:szCs w:val="20"/>
          <w:lang w:val="en-US"/>
        </w:rPr>
        <w:t xml:space="preserve"> After two periods of underperformance, real estate</w:t>
      </w:r>
      <w:r>
        <w:rPr>
          <w:sz w:val="20"/>
          <w:szCs w:val="20"/>
          <w:lang w:val="en-US"/>
        </w:rPr>
        <w:t xml:space="preserve"> </w:t>
      </w:r>
      <w:r w:rsidR="00861BB9">
        <w:rPr>
          <w:sz w:val="20"/>
          <w:szCs w:val="20"/>
          <w:lang w:val="en-US"/>
        </w:rPr>
        <w:t xml:space="preserve">shares started the year on a good note with 28 of the 31 companies in the sector trading higher. </w:t>
      </w:r>
    </w:p>
    <w:p w14:paraId="5E1AB650" w14:textId="77777777" w:rsidR="00861BB9" w:rsidRDefault="00861BB9" w:rsidP="00345CDC">
      <w:pPr>
        <w:spacing w:after="0" w:line="100" w:lineRule="atLeast"/>
        <w:jc w:val="both"/>
        <w:rPr>
          <w:sz w:val="20"/>
          <w:szCs w:val="20"/>
          <w:lang w:val="en-US"/>
        </w:rPr>
      </w:pPr>
      <w:bookmarkStart w:id="0" w:name="_GoBack"/>
      <w:bookmarkEnd w:id="0"/>
    </w:p>
    <w:p w14:paraId="41D11665" w14:textId="77777777" w:rsidR="004C41CC" w:rsidRDefault="003066E0" w:rsidP="009D00C7">
      <w:pPr>
        <w:spacing w:after="0" w:line="100" w:lineRule="atLeast"/>
        <w:jc w:val="both"/>
        <w:rPr>
          <w:b/>
          <w:sz w:val="20"/>
          <w:szCs w:val="20"/>
          <w:lang w:val="en-US"/>
        </w:rPr>
      </w:pPr>
      <w:r>
        <w:rPr>
          <w:b/>
          <w:sz w:val="20"/>
          <w:szCs w:val="20"/>
          <w:u w:val="single"/>
          <w:lang w:val="en-US"/>
        </w:rPr>
        <w:t>Healthcare</w:t>
      </w:r>
      <w:r>
        <w:rPr>
          <w:b/>
          <w:sz w:val="20"/>
          <w:szCs w:val="20"/>
          <w:lang w:val="en-US"/>
        </w:rPr>
        <w:t xml:space="preserve"> (</w:t>
      </w:r>
      <w:r w:rsidR="005F5A82">
        <w:rPr>
          <w:b/>
          <w:sz w:val="20"/>
          <w:szCs w:val="20"/>
          <w:lang w:val="en-US"/>
        </w:rPr>
        <w:t>Index weight</w:t>
      </w:r>
      <w:r w:rsidR="00637058">
        <w:rPr>
          <w:b/>
          <w:sz w:val="20"/>
          <w:szCs w:val="20"/>
          <w:lang w:val="en-US"/>
        </w:rPr>
        <w:t>: 14.1</w:t>
      </w:r>
      <w:r w:rsidR="004C41CC">
        <w:rPr>
          <w:b/>
          <w:sz w:val="20"/>
          <w:szCs w:val="20"/>
          <w:lang w:val="en-US"/>
        </w:rPr>
        <w:t>%)</w:t>
      </w:r>
    </w:p>
    <w:p w14:paraId="0D54F9C9" w14:textId="5DF2022D" w:rsidR="00583164" w:rsidRDefault="00A81FF2" w:rsidP="00D1762B">
      <w:pPr>
        <w:spacing w:after="0" w:line="100" w:lineRule="atLeast"/>
        <w:jc w:val="both"/>
        <w:rPr>
          <w:sz w:val="20"/>
          <w:szCs w:val="20"/>
          <w:lang w:val="en-US"/>
        </w:rPr>
      </w:pPr>
      <w:r>
        <w:rPr>
          <w:sz w:val="20"/>
          <w:szCs w:val="20"/>
          <w:lang w:val="en-US"/>
        </w:rPr>
        <w:t xml:space="preserve">The </w:t>
      </w:r>
      <w:r w:rsidR="007551AC">
        <w:rPr>
          <w:sz w:val="20"/>
          <w:szCs w:val="20"/>
          <w:lang w:val="en-US"/>
        </w:rPr>
        <w:t>H</w:t>
      </w:r>
      <w:r w:rsidR="00244A1C">
        <w:rPr>
          <w:sz w:val="20"/>
          <w:szCs w:val="20"/>
          <w:lang w:val="en-US"/>
        </w:rPr>
        <w:t xml:space="preserve">ealthcare </w:t>
      </w:r>
      <w:r w:rsidR="00583164">
        <w:rPr>
          <w:sz w:val="20"/>
          <w:szCs w:val="20"/>
          <w:lang w:val="en-US"/>
        </w:rPr>
        <w:t>sector gained 2.3</w:t>
      </w:r>
      <w:r w:rsidR="005B1E5E">
        <w:rPr>
          <w:sz w:val="20"/>
          <w:szCs w:val="20"/>
          <w:lang w:val="en-US"/>
        </w:rPr>
        <w:t>% during the</w:t>
      </w:r>
      <w:r w:rsidR="00583164">
        <w:rPr>
          <w:sz w:val="20"/>
          <w:szCs w:val="20"/>
          <w:lang w:val="en-US"/>
        </w:rPr>
        <w:t xml:space="preserve"> January </w:t>
      </w:r>
      <w:r w:rsidR="008F1841">
        <w:rPr>
          <w:sz w:val="20"/>
          <w:szCs w:val="20"/>
          <w:lang w:val="en-US"/>
        </w:rPr>
        <w:t xml:space="preserve">Option </w:t>
      </w:r>
      <w:r w:rsidR="00B4208D">
        <w:rPr>
          <w:sz w:val="20"/>
          <w:szCs w:val="20"/>
          <w:lang w:val="en-US"/>
        </w:rPr>
        <w:t>Period.</w:t>
      </w:r>
      <w:r>
        <w:rPr>
          <w:sz w:val="20"/>
          <w:szCs w:val="20"/>
          <w:lang w:val="en-US"/>
        </w:rPr>
        <w:t xml:space="preserve"> </w:t>
      </w:r>
      <w:r w:rsidR="00583164">
        <w:rPr>
          <w:sz w:val="20"/>
          <w:szCs w:val="20"/>
          <w:lang w:val="en-US"/>
        </w:rPr>
        <w:t xml:space="preserve">The </w:t>
      </w:r>
      <w:r w:rsidR="007551AC">
        <w:rPr>
          <w:sz w:val="20"/>
          <w:szCs w:val="20"/>
          <w:lang w:val="en-US"/>
        </w:rPr>
        <w:t>H</w:t>
      </w:r>
      <w:r w:rsidR="00583164">
        <w:rPr>
          <w:sz w:val="20"/>
          <w:szCs w:val="20"/>
          <w:lang w:val="en-US"/>
        </w:rPr>
        <w:t>ealthcare sector returns</w:t>
      </w:r>
      <w:r w:rsidR="00E205B3">
        <w:rPr>
          <w:sz w:val="20"/>
          <w:szCs w:val="20"/>
          <w:lang w:val="en-US"/>
        </w:rPr>
        <w:t>,</w:t>
      </w:r>
      <w:r w:rsidR="00583164">
        <w:rPr>
          <w:sz w:val="20"/>
          <w:szCs w:val="20"/>
          <w:lang w:val="en-US"/>
        </w:rPr>
        <w:t xml:space="preserve"> while still positive</w:t>
      </w:r>
      <w:r w:rsidR="00E205B3">
        <w:rPr>
          <w:sz w:val="20"/>
          <w:szCs w:val="20"/>
          <w:lang w:val="en-US"/>
        </w:rPr>
        <w:t>,</w:t>
      </w:r>
      <w:r w:rsidR="00583164">
        <w:rPr>
          <w:sz w:val="20"/>
          <w:szCs w:val="20"/>
          <w:lang w:val="en-US"/>
        </w:rPr>
        <w:t xml:space="preserve"> slightly underperformed the Index. This counter performance can be partially attributed to last period’s strong showing when it was </w:t>
      </w:r>
      <w:r w:rsidR="002D44AF">
        <w:rPr>
          <w:sz w:val="20"/>
          <w:szCs w:val="20"/>
          <w:lang w:val="en-US"/>
        </w:rPr>
        <w:t>the best performing sector</w:t>
      </w:r>
      <w:r w:rsidR="00583164">
        <w:rPr>
          <w:sz w:val="20"/>
          <w:szCs w:val="20"/>
          <w:lang w:val="en-US"/>
        </w:rPr>
        <w:t xml:space="preserve"> in the Index.</w:t>
      </w:r>
    </w:p>
    <w:p w14:paraId="0FFF4660" w14:textId="77777777" w:rsidR="005B1E5E" w:rsidRDefault="002D44AF" w:rsidP="00D1762B">
      <w:pPr>
        <w:spacing w:after="0" w:line="100" w:lineRule="atLeast"/>
        <w:jc w:val="both"/>
        <w:rPr>
          <w:sz w:val="20"/>
          <w:szCs w:val="20"/>
          <w:lang w:val="en-US"/>
        </w:rPr>
      </w:pPr>
      <w:r>
        <w:rPr>
          <w:sz w:val="20"/>
          <w:szCs w:val="20"/>
          <w:lang w:val="en-US"/>
        </w:rPr>
        <w:t xml:space="preserve"> </w:t>
      </w:r>
    </w:p>
    <w:p w14:paraId="4F3B86BF" w14:textId="77777777" w:rsidR="00D1762B" w:rsidRDefault="003066E0" w:rsidP="00D1762B">
      <w:pPr>
        <w:spacing w:after="0" w:line="100" w:lineRule="atLeast"/>
        <w:jc w:val="both"/>
        <w:rPr>
          <w:sz w:val="20"/>
          <w:szCs w:val="20"/>
          <w:lang w:val="en-US"/>
        </w:rPr>
      </w:pPr>
      <w:r>
        <w:rPr>
          <w:b/>
          <w:sz w:val="20"/>
          <w:szCs w:val="20"/>
          <w:u w:val="single"/>
          <w:lang w:val="en-US"/>
        </w:rPr>
        <w:t>Consumer Discretionary</w:t>
      </w:r>
      <w:r>
        <w:rPr>
          <w:b/>
          <w:sz w:val="20"/>
          <w:szCs w:val="20"/>
          <w:lang w:val="en-US"/>
        </w:rPr>
        <w:t xml:space="preserve"> (</w:t>
      </w:r>
      <w:r w:rsidR="005F5A82">
        <w:rPr>
          <w:b/>
          <w:sz w:val="20"/>
          <w:szCs w:val="20"/>
          <w:lang w:val="en-US"/>
        </w:rPr>
        <w:t>Index weight</w:t>
      </w:r>
      <w:r w:rsidR="00DB6D1F">
        <w:rPr>
          <w:b/>
          <w:sz w:val="20"/>
          <w:szCs w:val="20"/>
          <w:lang w:val="en-US"/>
        </w:rPr>
        <w:t>:</w:t>
      </w:r>
      <w:r w:rsidR="005856E9">
        <w:rPr>
          <w:b/>
          <w:sz w:val="20"/>
          <w:szCs w:val="20"/>
          <w:lang w:val="en-US"/>
        </w:rPr>
        <w:t xml:space="preserve"> 9.6</w:t>
      </w:r>
      <w:r w:rsidR="00D1762B">
        <w:rPr>
          <w:b/>
          <w:sz w:val="20"/>
          <w:szCs w:val="20"/>
          <w:lang w:val="en-US"/>
        </w:rPr>
        <w:t>%)</w:t>
      </w:r>
    </w:p>
    <w:p w14:paraId="39AD3E3B" w14:textId="77777777" w:rsidR="00C40FB9" w:rsidRDefault="008D4BC2" w:rsidP="00C40FB9">
      <w:pPr>
        <w:spacing w:after="0" w:line="100" w:lineRule="atLeast"/>
        <w:jc w:val="both"/>
        <w:rPr>
          <w:sz w:val="20"/>
          <w:szCs w:val="20"/>
          <w:lang w:val="en-US" w:eastAsia="zh-CN"/>
        </w:rPr>
      </w:pPr>
      <w:r w:rsidRPr="008D4BC2">
        <w:rPr>
          <w:sz w:val="20"/>
          <w:szCs w:val="20"/>
          <w:lang w:val="en-US" w:eastAsia="zh-CN"/>
        </w:rPr>
        <w:t xml:space="preserve">The Consumer Discretionary </w:t>
      </w:r>
      <w:r w:rsidR="00D04168">
        <w:rPr>
          <w:sz w:val="20"/>
          <w:szCs w:val="20"/>
          <w:lang w:val="en-US" w:eastAsia="zh-CN"/>
        </w:rPr>
        <w:t>sector</w:t>
      </w:r>
      <w:r w:rsidR="005856E9">
        <w:rPr>
          <w:sz w:val="20"/>
          <w:szCs w:val="20"/>
          <w:lang w:val="en-US" w:eastAsia="zh-CN"/>
        </w:rPr>
        <w:t xml:space="preserve"> returned 2.9% during the January</w:t>
      </w:r>
      <w:r w:rsidR="00A75523">
        <w:rPr>
          <w:sz w:val="20"/>
          <w:szCs w:val="20"/>
          <w:lang w:val="en-US" w:eastAsia="zh-CN"/>
        </w:rPr>
        <w:t xml:space="preserve"> Option Period, </w:t>
      </w:r>
      <w:r w:rsidR="005856E9">
        <w:rPr>
          <w:sz w:val="20"/>
          <w:szCs w:val="20"/>
          <w:lang w:val="en-US" w:eastAsia="zh-CN"/>
        </w:rPr>
        <w:t xml:space="preserve">slightly underperforming the overall Index. </w:t>
      </w:r>
      <w:r w:rsidR="00CD509D">
        <w:rPr>
          <w:sz w:val="20"/>
          <w:szCs w:val="20"/>
          <w:lang w:val="en-US" w:eastAsia="zh-CN"/>
        </w:rPr>
        <w:t xml:space="preserve"> Auto manufacturers were</w:t>
      </w:r>
      <w:r w:rsidR="005856E9">
        <w:rPr>
          <w:sz w:val="20"/>
          <w:szCs w:val="20"/>
          <w:lang w:val="en-US" w:eastAsia="zh-CN"/>
        </w:rPr>
        <w:t xml:space="preserve"> one of the subsectors that drag</w:t>
      </w:r>
      <w:r w:rsidR="00CD509D">
        <w:rPr>
          <w:sz w:val="20"/>
          <w:szCs w:val="20"/>
          <w:lang w:val="en-US" w:eastAsia="zh-CN"/>
        </w:rPr>
        <w:t>ged</w:t>
      </w:r>
      <w:r w:rsidR="005856E9">
        <w:rPr>
          <w:sz w:val="20"/>
          <w:szCs w:val="20"/>
          <w:lang w:val="en-US" w:eastAsia="zh-CN"/>
        </w:rPr>
        <w:t xml:space="preserve"> down the overall Consumer Discretionary sector. </w:t>
      </w:r>
      <w:r w:rsidR="00CD509D">
        <w:rPr>
          <w:sz w:val="20"/>
          <w:szCs w:val="20"/>
          <w:lang w:val="en-US" w:eastAsia="zh-CN"/>
        </w:rPr>
        <w:t xml:space="preserve"> </w:t>
      </w:r>
      <w:r w:rsidR="005856E9">
        <w:rPr>
          <w:sz w:val="20"/>
          <w:szCs w:val="20"/>
          <w:lang w:val="en-US" w:eastAsia="zh-CN"/>
        </w:rPr>
        <w:t xml:space="preserve">General Motors Co. (“GM”) and Ford Motor Co.  (“F”) both traded lower during the January Period, returning -4.4% and -3.4% respectively. </w:t>
      </w:r>
    </w:p>
    <w:p w14:paraId="4639260A" w14:textId="77777777" w:rsidR="007074FB" w:rsidRDefault="007074FB" w:rsidP="00D1762B">
      <w:pPr>
        <w:spacing w:after="0" w:line="100" w:lineRule="atLeast"/>
        <w:jc w:val="both"/>
        <w:rPr>
          <w:sz w:val="20"/>
          <w:szCs w:val="20"/>
          <w:lang w:val="en-US" w:eastAsia="zh-CN"/>
        </w:rPr>
      </w:pPr>
    </w:p>
    <w:p w14:paraId="197527D9" w14:textId="77777777" w:rsidR="00D1762B" w:rsidRDefault="003066E0" w:rsidP="00D1762B">
      <w:pPr>
        <w:spacing w:after="0" w:line="100" w:lineRule="atLeast"/>
        <w:jc w:val="both"/>
        <w:rPr>
          <w:sz w:val="20"/>
          <w:szCs w:val="20"/>
          <w:lang w:val="en-US"/>
        </w:rPr>
      </w:pPr>
      <w:r>
        <w:rPr>
          <w:b/>
          <w:sz w:val="20"/>
          <w:szCs w:val="20"/>
          <w:u w:val="single"/>
          <w:lang w:val="en-US"/>
        </w:rPr>
        <w:t>Industrials</w:t>
      </w:r>
      <w:r>
        <w:rPr>
          <w:b/>
          <w:sz w:val="20"/>
          <w:szCs w:val="20"/>
          <w:lang w:val="en-US"/>
        </w:rPr>
        <w:t xml:space="preserve"> (</w:t>
      </w:r>
      <w:r w:rsidR="005F5A82">
        <w:rPr>
          <w:b/>
          <w:sz w:val="20"/>
          <w:szCs w:val="20"/>
          <w:lang w:val="en-US"/>
        </w:rPr>
        <w:t>Index weight</w:t>
      </w:r>
      <w:r w:rsidR="00801098">
        <w:rPr>
          <w:b/>
          <w:sz w:val="20"/>
          <w:szCs w:val="20"/>
          <w:lang w:val="en-US"/>
        </w:rPr>
        <w:t>:</w:t>
      </w:r>
      <w:r w:rsidR="009F6B48">
        <w:rPr>
          <w:b/>
          <w:sz w:val="20"/>
          <w:szCs w:val="20"/>
          <w:lang w:val="en-US"/>
        </w:rPr>
        <w:t xml:space="preserve"> 9.1</w:t>
      </w:r>
      <w:r w:rsidR="00D1762B">
        <w:rPr>
          <w:b/>
          <w:sz w:val="20"/>
          <w:szCs w:val="20"/>
          <w:lang w:val="en-US"/>
        </w:rPr>
        <w:t>%)</w:t>
      </w:r>
    </w:p>
    <w:p w14:paraId="3E867DFC" w14:textId="0BF30620" w:rsidR="00B41658" w:rsidRDefault="008D4BC2" w:rsidP="00AF70DA">
      <w:pPr>
        <w:spacing w:after="0" w:line="100" w:lineRule="atLeast"/>
        <w:jc w:val="both"/>
        <w:rPr>
          <w:sz w:val="20"/>
          <w:szCs w:val="20"/>
          <w:lang w:val="en-US" w:eastAsia="zh-CN"/>
        </w:rPr>
      </w:pPr>
      <w:r w:rsidRPr="008D4BC2">
        <w:rPr>
          <w:sz w:val="20"/>
          <w:szCs w:val="20"/>
          <w:lang w:val="en-US" w:eastAsia="zh-CN"/>
        </w:rPr>
        <w:t>The Industrial sector</w:t>
      </w:r>
      <w:r w:rsidR="00C40FB9">
        <w:rPr>
          <w:sz w:val="20"/>
          <w:szCs w:val="20"/>
          <w:lang w:val="en-US" w:eastAsia="zh-CN"/>
        </w:rPr>
        <w:t xml:space="preserve"> </w:t>
      </w:r>
      <w:r w:rsidR="002008C7">
        <w:rPr>
          <w:sz w:val="20"/>
          <w:szCs w:val="20"/>
          <w:lang w:val="en-US" w:eastAsia="zh-CN"/>
        </w:rPr>
        <w:t xml:space="preserve">performed in line with the Index and returned 3.5% during the January </w:t>
      </w:r>
      <w:r w:rsidR="006808D7">
        <w:rPr>
          <w:sz w:val="20"/>
          <w:szCs w:val="20"/>
          <w:lang w:val="en-US" w:eastAsia="zh-CN"/>
        </w:rPr>
        <w:t>Option</w:t>
      </w:r>
      <w:r w:rsidR="00B4208D">
        <w:rPr>
          <w:sz w:val="20"/>
          <w:szCs w:val="20"/>
          <w:lang w:val="en-US" w:eastAsia="zh-CN"/>
        </w:rPr>
        <w:t xml:space="preserve"> Period.</w:t>
      </w:r>
      <w:r w:rsidR="00B41658">
        <w:rPr>
          <w:sz w:val="20"/>
          <w:szCs w:val="20"/>
          <w:lang w:val="en-US" w:eastAsia="zh-CN"/>
        </w:rPr>
        <w:t xml:space="preserve"> </w:t>
      </w:r>
      <w:r w:rsidR="002008C7">
        <w:rPr>
          <w:sz w:val="20"/>
          <w:szCs w:val="20"/>
          <w:lang w:val="en-US" w:eastAsia="zh-CN"/>
        </w:rPr>
        <w:t>Transportation shares did well</w:t>
      </w:r>
      <w:r w:rsidR="007551AC">
        <w:rPr>
          <w:sz w:val="20"/>
          <w:szCs w:val="20"/>
          <w:lang w:val="en-US" w:eastAsia="zh-CN"/>
        </w:rPr>
        <w:t>,</w:t>
      </w:r>
      <w:r w:rsidR="002008C7">
        <w:rPr>
          <w:sz w:val="20"/>
          <w:szCs w:val="20"/>
          <w:lang w:val="en-US" w:eastAsia="zh-CN"/>
        </w:rPr>
        <w:t xml:space="preserve"> with nine of the 10 stocks in the subsector increasing du</w:t>
      </w:r>
      <w:r w:rsidR="00CD509D">
        <w:rPr>
          <w:sz w:val="20"/>
          <w:szCs w:val="20"/>
          <w:lang w:val="en-US" w:eastAsia="zh-CN"/>
        </w:rPr>
        <w:t xml:space="preserve">ring the January </w:t>
      </w:r>
      <w:proofErr w:type="gramStart"/>
      <w:r w:rsidR="00CD509D">
        <w:rPr>
          <w:sz w:val="20"/>
          <w:szCs w:val="20"/>
          <w:lang w:val="en-US" w:eastAsia="zh-CN"/>
        </w:rPr>
        <w:t>Option  Period</w:t>
      </w:r>
      <w:proofErr w:type="gramEnd"/>
      <w:r w:rsidR="00CD509D">
        <w:rPr>
          <w:sz w:val="20"/>
          <w:szCs w:val="20"/>
          <w:lang w:val="en-US" w:eastAsia="zh-CN"/>
        </w:rPr>
        <w:t>.  F</w:t>
      </w:r>
      <w:r w:rsidR="002008C7">
        <w:rPr>
          <w:sz w:val="20"/>
          <w:szCs w:val="20"/>
          <w:lang w:val="en-US" w:eastAsia="zh-CN"/>
        </w:rPr>
        <w:t xml:space="preserve">ive of </w:t>
      </w:r>
      <w:r w:rsidR="00CD509D">
        <w:rPr>
          <w:sz w:val="20"/>
          <w:szCs w:val="20"/>
          <w:lang w:val="en-US" w:eastAsia="zh-CN"/>
        </w:rPr>
        <w:t xml:space="preserve">these names </w:t>
      </w:r>
      <w:r w:rsidR="002008C7">
        <w:rPr>
          <w:sz w:val="20"/>
          <w:szCs w:val="20"/>
          <w:lang w:val="en-US" w:eastAsia="zh-CN"/>
        </w:rPr>
        <w:t>increase</w:t>
      </w:r>
      <w:r w:rsidR="002F1624">
        <w:rPr>
          <w:sz w:val="20"/>
          <w:szCs w:val="20"/>
          <w:lang w:val="en-US" w:eastAsia="zh-CN"/>
        </w:rPr>
        <w:t>d</w:t>
      </w:r>
      <w:r w:rsidR="002008C7">
        <w:rPr>
          <w:sz w:val="20"/>
          <w:szCs w:val="20"/>
          <w:lang w:val="en-US" w:eastAsia="zh-CN"/>
        </w:rPr>
        <w:t xml:space="preserve"> in excess of 5%. </w:t>
      </w:r>
    </w:p>
    <w:p w14:paraId="489BF155" w14:textId="77777777" w:rsidR="0029430B" w:rsidRDefault="0029430B" w:rsidP="00AF70DA">
      <w:pPr>
        <w:spacing w:after="0" w:line="100" w:lineRule="atLeast"/>
        <w:jc w:val="both"/>
        <w:rPr>
          <w:b/>
          <w:sz w:val="20"/>
          <w:szCs w:val="20"/>
          <w:u w:val="single"/>
          <w:lang w:val="en-US"/>
        </w:rPr>
      </w:pPr>
    </w:p>
    <w:p w14:paraId="218619FB" w14:textId="77777777" w:rsidR="00FF6E0F" w:rsidRDefault="003066E0" w:rsidP="00FF6E0F">
      <w:pPr>
        <w:spacing w:after="0" w:line="100" w:lineRule="atLeast"/>
        <w:jc w:val="both"/>
        <w:rPr>
          <w:sz w:val="20"/>
          <w:szCs w:val="20"/>
          <w:lang w:val="en-US"/>
        </w:rPr>
      </w:pPr>
      <w:r>
        <w:rPr>
          <w:b/>
          <w:sz w:val="20"/>
          <w:szCs w:val="20"/>
          <w:u w:val="single"/>
          <w:lang w:val="en-US"/>
        </w:rPr>
        <w:t>Consumer Staples</w:t>
      </w:r>
      <w:r>
        <w:rPr>
          <w:b/>
          <w:sz w:val="20"/>
          <w:szCs w:val="20"/>
          <w:lang w:val="en-US"/>
        </w:rPr>
        <w:t xml:space="preserve"> (</w:t>
      </w:r>
      <w:r w:rsidR="005F5A82">
        <w:rPr>
          <w:b/>
          <w:sz w:val="20"/>
          <w:szCs w:val="20"/>
          <w:lang w:val="en-US"/>
        </w:rPr>
        <w:t>Index weight</w:t>
      </w:r>
      <w:r w:rsidR="0023789D">
        <w:rPr>
          <w:b/>
          <w:sz w:val="20"/>
          <w:szCs w:val="20"/>
          <w:lang w:val="en-US"/>
        </w:rPr>
        <w:t xml:space="preserve">: </w:t>
      </w:r>
      <w:r w:rsidR="002008C7">
        <w:rPr>
          <w:b/>
          <w:sz w:val="20"/>
          <w:szCs w:val="20"/>
          <w:lang w:val="en-US"/>
        </w:rPr>
        <w:t>7.1</w:t>
      </w:r>
      <w:r w:rsidR="00FF6E0F">
        <w:rPr>
          <w:b/>
          <w:sz w:val="20"/>
          <w:szCs w:val="20"/>
          <w:lang w:val="en-US"/>
        </w:rPr>
        <w:t>%)</w:t>
      </w:r>
    </w:p>
    <w:p w14:paraId="3508BF4D" w14:textId="77777777" w:rsidR="005C6153" w:rsidRDefault="00A86863" w:rsidP="00454928">
      <w:pPr>
        <w:spacing w:after="0" w:line="100" w:lineRule="atLeast"/>
        <w:jc w:val="both"/>
        <w:rPr>
          <w:sz w:val="20"/>
          <w:szCs w:val="20"/>
          <w:lang w:val="en-US"/>
        </w:rPr>
      </w:pPr>
      <w:r w:rsidRPr="00A86863">
        <w:rPr>
          <w:sz w:val="20"/>
          <w:szCs w:val="20"/>
          <w:lang w:val="en-US"/>
        </w:rPr>
        <w:t>The Consumer Staples sector</w:t>
      </w:r>
      <w:r w:rsidR="00642CFE">
        <w:rPr>
          <w:sz w:val="20"/>
          <w:szCs w:val="20"/>
          <w:lang w:val="en-US"/>
        </w:rPr>
        <w:t xml:space="preserve"> traded </w:t>
      </w:r>
      <w:r w:rsidR="00C914D8">
        <w:rPr>
          <w:sz w:val="20"/>
          <w:szCs w:val="20"/>
          <w:lang w:val="en-US"/>
        </w:rPr>
        <w:t>higher during the</w:t>
      </w:r>
      <w:r w:rsidR="007B3B17">
        <w:rPr>
          <w:sz w:val="20"/>
          <w:szCs w:val="20"/>
          <w:lang w:val="en-US"/>
        </w:rPr>
        <w:t xml:space="preserve"> January </w:t>
      </w:r>
      <w:r w:rsidRPr="00A86863">
        <w:rPr>
          <w:sz w:val="20"/>
          <w:szCs w:val="20"/>
          <w:lang w:val="en-US"/>
        </w:rPr>
        <w:t>Option Period</w:t>
      </w:r>
      <w:r w:rsidR="007B3B17">
        <w:rPr>
          <w:sz w:val="20"/>
          <w:szCs w:val="20"/>
          <w:lang w:val="en-US"/>
        </w:rPr>
        <w:t xml:space="preserve"> but underperformed the Index</w:t>
      </w:r>
      <w:r w:rsidRPr="00A86863">
        <w:rPr>
          <w:sz w:val="20"/>
          <w:szCs w:val="20"/>
          <w:lang w:val="en-US"/>
        </w:rPr>
        <w:t>,</w:t>
      </w:r>
      <w:r w:rsidR="007B3B17">
        <w:rPr>
          <w:sz w:val="20"/>
          <w:szCs w:val="20"/>
          <w:lang w:val="en-US"/>
        </w:rPr>
        <w:t xml:space="preserve"> increasing 1.2</w:t>
      </w:r>
      <w:r w:rsidR="00C914D8">
        <w:rPr>
          <w:sz w:val="20"/>
          <w:szCs w:val="20"/>
          <w:lang w:val="en-US"/>
        </w:rPr>
        <w:t xml:space="preserve">%. </w:t>
      </w:r>
      <w:r w:rsidR="007B3B17">
        <w:rPr>
          <w:sz w:val="20"/>
          <w:szCs w:val="20"/>
          <w:lang w:val="en-US"/>
        </w:rPr>
        <w:t>Beverage manufacturers did well</w:t>
      </w:r>
      <w:r w:rsidR="00152349">
        <w:rPr>
          <w:sz w:val="20"/>
          <w:szCs w:val="20"/>
          <w:lang w:val="en-US"/>
        </w:rPr>
        <w:t>,</w:t>
      </w:r>
      <w:r w:rsidR="007B3B17">
        <w:rPr>
          <w:sz w:val="20"/>
          <w:szCs w:val="20"/>
          <w:lang w:val="en-US"/>
        </w:rPr>
        <w:t xml:space="preserve"> </w:t>
      </w:r>
    </w:p>
    <w:p w14:paraId="2ABD9532" w14:textId="77777777" w:rsidR="005C6153" w:rsidRDefault="005C6153" w:rsidP="00454928">
      <w:pPr>
        <w:spacing w:after="0" w:line="100" w:lineRule="atLeast"/>
        <w:jc w:val="both"/>
        <w:rPr>
          <w:sz w:val="20"/>
          <w:szCs w:val="20"/>
          <w:lang w:val="en-US"/>
        </w:rPr>
      </w:pPr>
    </w:p>
    <w:p w14:paraId="231A7E0D" w14:textId="77777777" w:rsidR="005C6153" w:rsidRDefault="005C6153" w:rsidP="00454928">
      <w:pPr>
        <w:spacing w:after="0" w:line="100" w:lineRule="atLeast"/>
        <w:jc w:val="both"/>
        <w:rPr>
          <w:sz w:val="20"/>
          <w:szCs w:val="20"/>
          <w:lang w:val="en-US"/>
        </w:rPr>
      </w:pPr>
    </w:p>
    <w:p w14:paraId="40E5A3C5" w14:textId="77777777" w:rsidR="005C6153" w:rsidRDefault="005C6153" w:rsidP="00454928">
      <w:pPr>
        <w:spacing w:after="0" w:line="100" w:lineRule="atLeast"/>
        <w:jc w:val="both"/>
        <w:rPr>
          <w:sz w:val="20"/>
          <w:szCs w:val="20"/>
          <w:lang w:val="en-US"/>
        </w:rPr>
      </w:pPr>
    </w:p>
    <w:p w14:paraId="309F6C54" w14:textId="4A628719" w:rsidR="00A86863" w:rsidRDefault="007B3B17" w:rsidP="00454928">
      <w:pPr>
        <w:spacing w:after="0" w:line="100" w:lineRule="atLeast"/>
        <w:jc w:val="both"/>
        <w:rPr>
          <w:sz w:val="20"/>
          <w:szCs w:val="20"/>
          <w:lang w:val="en-US"/>
        </w:rPr>
      </w:pPr>
      <w:r>
        <w:rPr>
          <w:sz w:val="20"/>
          <w:szCs w:val="20"/>
          <w:lang w:val="en-US"/>
        </w:rPr>
        <w:t xml:space="preserve">however, with all six companies </w:t>
      </w:r>
      <w:r w:rsidR="00CD509D">
        <w:rPr>
          <w:sz w:val="20"/>
          <w:szCs w:val="20"/>
          <w:lang w:val="en-US"/>
        </w:rPr>
        <w:t xml:space="preserve">in the subsector posting higher </w:t>
      </w:r>
      <w:r>
        <w:rPr>
          <w:sz w:val="20"/>
          <w:szCs w:val="20"/>
          <w:lang w:val="en-US"/>
        </w:rPr>
        <w:t xml:space="preserve">returns during the January Period. Monster Beverage Corp. (“MNST”), Brown Forman Corp. (“BF/B”) and Molson Coors Beverage Co. (“TAP”) all returned in excess of 5% during the same period. </w:t>
      </w:r>
    </w:p>
    <w:p w14:paraId="6F0BAA8E" w14:textId="77777777" w:rsidR="007B3B17" w:rsidRDefault="007B3B17" w:rsidP="00454928">
      <w:pPr>
        <w:spacing w:after="0" w:line="100" w:lineRule="atLeast"/>
        <w:jc w:val="both"/>
        <w:rPr>
          <w:sz w:val="20"/>
          <w:szCs w:val="20"/>
          <w:lang w:val="en-US"/>
        </w:rPr>
      </w:pPr>
    </w:p>
    <w:p w14:paraId="2D9AF3D6" w14:textId="77777777" w:rsidR="005B15EE" w:rsidRDefault="005B15EE" w:rsidP="005B15EE">
      <w:pPr>
        <w:spacing w:after="0" w:line="100" w:lineRule="atLeast"/>
        <w:jc w:val="both"/>
        <w:rPr>
          <w:sz w:val="20"/>
          <w:szCs w:val="20"/>
          <w:lang w:val="en-US"/>
        </w:rPr>
      </w:pPr>
      <w:r w:rsidRPr="005B15EE">
        <w:rPr>
          <w:b/>
          <w:sz w:val="20"/>
          <w:szCs w:val="20"/>
          <w:u w:val="single"/>
          <w:lang w:val="en-US"/>
        </w:rPr>
        <w:t>Energy</w:t>
      </w:r>
      <w:r w:rsidR="00DC7798">
        <w:rPr>
          <w:b/>
          <w:sz w:val="20"/>
          <w:szCs w:val="20"/>
          <w:lang w:val="en-US"/>
        </w:rPr>
        <w:t xml:space="preserve"> (Index weight: </w:t>
      </w:r>
      <w:r w:rsidR="0029430B">
        <w:rPr>
          <w:b/>
          <w:sz w:val="20"/>
          <w:szCs w:val="20"/>
          <w:lang w:val="en-US"/>
        </w:rPr>
        <w:t>4.1</w:t>
      </w:r>
      <w:r>
        <w:rPr>
          <w:b/>
          <w:sz w:val="20"/>
          <w:szCs w:val="20"/>
          <w:lang w:val="en-US"/>
        </w:rPr>
        <w:t>%)</w:t>
      </w:r>
    </w:p>
    <w:p w14:paraId="2C892219" w14:textId="77777777" w:rsidR="00B74FD2" w:rsidRDefault="00B74FD2" w:rsidP="00D1762B">
      <w:pPr>
        <w:spacing w:after="0" w:line="100" w:lineRule="atLeast"/>
        <w:jc w:val="both"/>
        <w:rPr>
          <w:sz w:val="20"/>
          <w:szCs w:val="20"/>
          <w:lang w:val="en-US"/>
        </w:rPr>
      </w:pPr>
      <w:r>
        <w:rPr>
          <w:sz w:val="20"/>
          <w:szCs w:val="20"/>
          <w:lang w:val="en-US"/>
        </w:rPr>
        <w:t xml:space="preserve">The Energy sector was once again the worst performing sector in the Index and the only sector to post negative returns during the January </w:t>
      </w:r>
      <w:r w:rsidR="00152349">
        <w:rPr>
          <w:sz w:val="20"/>
          <w:szCs w:val="20"/>
          <w:lang w:val="en-US"/>
        </w:rPr>
        <w:t>Option Period.  Energy shares f</w:t>
      </w:r>
      <w:r>
        <w:rPr>
          <w:sz w:val="20"/>
          <w:szCs w:val="20"/>
          <w:lang w:val="en-US"/>
        </w:rPr>
        <w:t xml:space="preserve">ared poorly during </w:t>
      </w:r>
      <w:r w:rsidR="00152349">
        <w:rPr>
          <w:sz w:val="20"/>
          <w:szCs w:val="20"/>
          <w:lang w:val="en-US"/>
        </w:rPr>
        <w:t>much of 2019</w:t>
      </w:r>
      <w:r>
        <w:rPr>
          <w:sz w:val="20"/>
          <w:szCs w:val="20"/>
          <w:lang w:val="en-US"/>
        </w:rPr>
        <w:t>, and their fortune</w:t>
      </w:r>
      <w:r w:rsidR="00152349">
        <w:rPr>
          <w:sz w:val="20"/>
          <w:szCs w:val="20"/>
          <w:lang w:val="en-US"/>
        </w:rPr>
        <w:t>s did not seem to turn around as</w:t>
      </w:r>
      <w:r>
        <w:rPr>
          <w:sz w:val="20"/>
          <w:szCs w:val="20"/>
          <w:lang w:val="en-US"/>
        </w:rPr>
        <w:t xml:space="preserve"> 2020</w:t>
      </w:r>
      <w:r w:rsidR="00152349">
        <w:rPr>
          <w:sz w:val="20"/>
          <w:szCs w:val="20"/>
          <w:lang w:val="en-US"/>
        </w:rPr>
        <w:t xml:space="preserve"> began</w:t>
      </w:r>
      <w:r>
        <w:rPr>
          <w:sz w:val="20"/>
          <w:szCs w:val="20"/>
          <w:lang w:val="en-US"/>
        </w:rPr>
        <w:t>. Oil prices and natural gas prices were both lower during the January Period</w:t>
      </w:r>
      <w:r w:rsidR="00152349">
        <w:rPr>
          <w:sz w:val="20"/>
          <w:szCs w:val="20"/>
          <w:lang w:val="en-US"/>
        </w:rPr>
        <w:t>,</w:t>
      </w:r>
      <w:r>
        <w:rPr>
          <w:sz w:val="20"/>
          <w:szCs w:val="20"/>
          <w:lang w:val="en-US"/>
        </w:rPr>
        <w:t xml:space="preserve"> leading the energy shares lower. </w:t>
      </w:r>
    </w:p>
    <w:p w14:paraId="23EDEC41" w14:textId="77777777" w:rsidR="00B74FD2" w:rsidRDefault="00B74FD2" w:rsidP="00D1762B">
      <w:pPr>
        <w:spacing w:after="0" w:line="100" w:lineRule="atLeast"/>
        <w:jc w:val="both"/>
        <w:rPr>
          <w:sz w:val="20"/>
          <w:szCs w:val="20"/>
          <w:lang w:val="en-US"/>
        </w:rPr>
      </w:pPr>
    </w:p>
    <w:p w14:paraId="798D44EA" w14:textId="77777777" w:rsidR="00A600E4" w:rsidRDefault="003066E0" w:rsidP="00D1762B">
      <w:pPr>
        <w:spacing w:after="0" w:line="100" w:lineRule="atLeast"/>
        <w:jc w:val="both"/>
        <w:rPr>
          <w:sz w:val="20"/>
          <w:szCs w:val="20"/>
          <w:lang w:val="en-US"/>
        </w:rPr>
      </w:pPr>
      <w:r>
        <w:rPr>
          <w:b/>
          <w:sz w:val="20"/>
          <w:szCs w:val="20"/>
          <w:u w:val="single"/>
          <w:lang w:val="en-US"/>
        </w:rPr>
        <w:t>Materials</w:t>
      </w:r>
      <w:r w:rsidR="00D1762B">
        <w:rPr>
          <w:b/>
          <w:sz w:val="20"/>
          <w:szCs w:val="20"/>
          <w:lang w:val="en-US"/>
        </w:rPr>
        <w:t xml:space="preserve"> (</w:t>
      </w:r>
      <w:r w:rsidR="005F5A82">
        <w:rPr>
          <w:b/>
          <w:sz w:val="20"/>
          <w:szCs w:val="20"/>
          <w:lang w:val="en-US"/>
        </w:rPr>
        <w:t>Index weight</w:t>
      </w:r>
      <w:r w:rsidR="0076012E">
        <w:rPr>
          <w:b/>
          <w:sz w:val="20"/>
          <w:szCs w:val="20"/>
          <w:lang w:val="en-US"/>
        </w:rPr>
        <w:t>:</w:t>
      </w:r>
      <w:r w:rsidR="009F6B48">
        <w:rPr>
          <w:b/>
          <w:sz w:val="20"/>
          <w:szCs w:val="20"/>
          <w:lang w:val="en-US" w:eastAsia="zh-CN"/>
        </w:rPr>
        <w:t xml:space="preserve"> 2.6</w:t>
      </w:r>
      <w:r w:rsidR="00D1762B">
        <w:rPr>
          <w:b/>
          <w:sz w:val="20"/>
          <w:szCs w:val="20"/>
          <w:lang w:val="en-US"/>
        </w:rPr>
        <w:t>%)</w:t>
      </w:r>
    </w:p>
    <w:p w14:paraId="3B99B3E7" w14:textId="77777777" w:rsidR="0022092D" w:rsidRDefault="004F773C" w:rsidP="008232A7">
      <w:pPr>
        <w:spacing w:after="0" w:line="100" w:lineRule="atLeast"/>
        <w:jc w:val="both"/>
        <w:rPr>
          <w:sz w:val="20"/>
          <w:szCs w:val="20"/>
          <w:lang w:val="en-US"/>
        </w:rPr>
      </w:pPr>
      <w:r>
        <w:rPr>
          <w:sz w:val="20"/>
          <w:szCs w:val="20"/>
          <w:lang w:val="en-US"/>
        </w:rPr>
        <w:t>The Materials sector</w:t>
      </w:r>
      <w:r w:rsidR="0022092D">
        <w:rPr>
          <w:sz w:val="20"/>
          <w:szCs w:val="20"/>
          <w:lang w:val="en-US"/>
        </w:rPr>
        <w:t xml:space="preserve"> was the second worst performing sector, after the energy sector, but still managed to increase 0.5% during the January Period.</w:t>
      </w:r>
      <w:r w:rsidR="00152349">
        <w:rPr>
          <w:sz w:val="20"/>
          <w:szCs w:val="20"/>
          <w:lang w:val="en-US"/>
        </w:rPr>
        <w:t xml:space="preserve">  Newmont Corp. (“NEM”)</w:t>
      </w:r>
      <w:r w:rsidR="0016735F">
        <w:rPr>
          <w:sz w:val="20"/>
          <w:szCs w:val="20"/>
          <w:lang w:val="en-US"/>
        </w:rPr>
        <w:t>, the only gold miner in the sector, outperformed and returned 6.2% during the January Period</w:t>
      </w:r>
      <w:r w:rsidR="00152349">
        <w:rPr>
          <w:sz w:val="20"/>
          <w:szCs w:val="20"/>
          <w:lang w:val="en-US"/>
        </w:rPr>
        <w:t xml:space="preserve"> as gold remained firm</w:t>
      </w:r>
      <w:r w:rsidR="0016735F">
        <w:rPr>
          <w:sz w:val="20"/>
          <w:szCs w:val="20"/>
          <w:lang w:val="en-US"/>
        </w:rPr>
        <w:t>.</w:t>
      </w:r>
    </w:p>
    <w:p w14:paraId="1297782B" w14:textId="77777777" w:rsidR="00EC5B4F" w:rsidRDefault="001F025E" w:rsidP="008232A7">
      <w:pPr>
        <w:spacing w:after="0" w:line="100" w:lineRule="atLeast"/>
        <w:jc w:val="both"/>
        <w:rPr>
          <w:sz w:val="20"/>
          <w:szCs w:val="20"/>
          <w:lang w:val="en-US"/>
        </w:rPr>
      </w:pPr>
      <w:r>
        <w:rPr>
          <w:sz w:val="20"/>
          <w:szCs w:val="20"/>
          <w:lang w:val="en-US"/>
        </w:rPr>
        <w:t xml:space="preserve"> </w:t>
      </w:r>
    </w:p>
    <w:p w14:paraId="57E9B587" w14:textId="77777777" w:rsidR="000D4C3E" w:rsidRDefault="001328D8" w:rsidP="00D1762B">
      <w:pPr>
        <w:spacing w:after="0" w:line="100" w:lineRule="atLeast"/>
        <w:jc w:val="both"/>
        <w:rPr>
          <w:sz w:val="20"/>
          <w:szCs w:val="20"/>
          <w:lang w:val="en-US"/>
        </w:rPr>
      </w:pPr>
      <w:r>
        <w:rPr>
          <w:b/>
          <w:sz w:val="20"/>
          <w:szCs w:val="20"/>
          <w:u w:val="single"/>
          <w:lang w:val="en-US"/>
        </w:rPr>
        <w:t>C</w:t>
      </w:r>
      <w:r w:rsidR="003066E0">
        <w:rPr>
          <w:b/>
          <w:sz w:val="20"/>
          <w:szCs w:val="20"/>
          <w:u w:val="single"/>
          <w:lang w:val="en-US"/>
        </w:rPr>
        <w:t>ommunication Service</w:t>
      </w:r>
      <w:r w:rsidR="00D1762B">
        <w:rPr>
          <w:b/>
          <w:sz w:val="20"/>
          <w:szCs w:val="20"/>
          <w:u w:val="single"/>
          <w:lang w:val="en-US"/>
        </w:rPr>
        <w:t>s</w:t>
      </w:r>
      <w:r w:rsidR="00D1762B">
        <w:rPr>
          <w:b/>
          <w:sz w:val="20"/>
          <w:szCs w:val="20"/>
          <w:lang w:val="en-US"/>
        </w:rPr>
        <w:t xml:space="preserve"> (</w:t>
      </w:r>
      <w:r w:rsidR="005F5A82">
        <w:rPr>
          <w:b/>
          <w:sz w:val="20"/>
          <w:szCs w:val="20"/>
          <w:lang w:val="en-US"/>
        </w:rPr>
        <w:t>Index weight</w:t>
      </w:r>
      <w:r w:rsidR="00E23249">
        <w:rPr>
          <w:b/>
          <w:sz w:val="20"/>
          <w:szCs w:val="20"/>
          <w:lang w:val="en-US"/>
        </w:rPr>
        <w:t>:</w:t>
      </w:r>
      <w:r w:rsidR="00741173">
        <w:rPr>
          <w:b/>
          <w:sz w:val="20"/>
          <w:szCs w:val="20"/>
          <w:lang w:val="en-US"/>
        </w:rPr>
        <w:t xml:space="preserve"> </w:t>
      </w:r>
      <w:r w:rsidR="0029430B">
        <w:rPr>
          <w:b/>
          <w:sz w:val="20"/>
          <w:szCs w:val="20"/>
          <w:lang w:val="en-US"/>
        </w:rPr>
        <w:t>10.6</w:t>
      </w:r>
      <w:r w:rsidR="00D1762B">
        <w:rPr>
          <w:b/>
          <w:sz w:val="20"/>
          <w:szCs w:val="20"/>
          <w:lang w:val="en-US"/>
        </w:rPr>
        <w:t xml:space="preserve">%) </w:t>
      </w:r>
    </w:p>
    <w:p w14:paraId="3BE5E6D1" w14:textId="77777777" w:rsidR="00E06824" w:rsidRDefault="00A86863" w:rsidP="002B26ED">
      <w:pPr>
        <w:spacing w:after="0" w:line="100" w:lineRule="atLeast"/>
        <w:jc w:val="both"/>
        <w:rPr>
          <w:sz w:val="20"/>
          <w:szCs w:val="20"/>
          <w:lang w:val="en-US"/>
        </w:rPr>
      </w:pPr>
      <w:r w:rsidRPr="00A86863">
        <w:rPr>
          <w:sz w:val="20"/>
          <w:szCs w:val="20"/>
          <w:lang w:val="en-US"/>
        </w:rPr>
        <w:t>The Communication Services sector</w:t>
      </w:r>
      <w:r w:rsidR="0016735F">
        <w:rPr>
          <w:sz w:val="20"/>
          <w:szCs w:val="20"/>
          <w:lang w:val="en-US"/>
        </w:rPr>
        <w:t xml:space="preserve"> returned 4.5</w:t>
      </w:r>
      <w:r w:rsidR="00E06824">
        <w:rPr>
          <w:sz w:val="20"/>
          <w:szCs w:val="20"/>
          <w:lang w:val="en-US"/>
        </w:rPr>
        <w:t xml:space="preserve">% during the </w:t>
      </w:r>
      <w:r w:rsidR="0016735F">
        <w:rPr>
          <w:sz w:val="20"/>
          <w:szCs w:val="20"/>
          <w:lang w:val="en-US"/>
        </w:rPr>
        <w:t xml:space="preserve">January </w:t>
      </w:r>
      <w:r w:rsidR="006808D7">
        <w:rPr>
          <w:sz w:val="20"/>
          <w:szCs w:val="20"/>
          <w:lang w:val="en-US"/>
        </w:rPr>
        <w:t>Option</w:t>
      </w:r>
      <w:r w:rsidR="00B4208D">
        <w:rPr>
          <w:sz w:val="20"/>
          <w:szCs w:val="20"/>
          <w:lang w:val="en-US"/>
        </w:rPr>
        <w:t xml:space="preserve"> Period.</w:t>
      </w:r>
      <w:r w:rsidR="0016735F">
        <w:rPr>
          <w:sz w:val="20"/>
          <w:szCs w:val="20"/>
          <w:lang w:val="en-US"/>
        </w:rPr>
        <w:t xml:space="preserve"> The sector was </w:t>
      </w:r>
      <w:r w:rsidR="00152349">
        <w:rPr>
          <w:sz w:val="20"/>
          <w:szCs w:val="20"/>
          <w:lang w:val="en-US"/>
        </w:rPr>
        <w:t>p</w:t>
      </w:r>
      <w:r w:rsidR="002F1624">
        <w:rPr>
          <w:sz w:val="20"/>
          <w:szCs w:val="20"/>
          <w:lang w:val="en-US"/>
        </w:rPr>
        <w:t>ropelled</w:t>
      </w:r>
      <w:r w:rsidR="0016735F">
        <w:rPr>
          <w:sz w:val="20"/>
          <w:szCs w:val="20"/>
          <w:lang w:val="en-US"/>
        </w:rPr>
        <w:t xml:space="preserve"> higher by strong performances from the leading Internet stocks. Facebook Inc. (“FB”) and Alphabet Inc. (“GOOGL”) returned 7.7% and 9.5% respectively.</w:t>
      </w:r>
    </w:p>
    <w:p w14:paraId="7DD4B38B" w14:textId="77777777" w:rsidR="0016735F" w:rsidRPr="007F5138" w:rsidRDefault="0016735F" w:rsidP="002B26ED">
      <w:pPr>
        <w:spacing w:after="0" w:line="100" w:lineRule="atLeast"/>
        <w:jc w:val="both"/>
        <w:rPr>
          <w:sz w:val="20"/>
          <w:szCs w:val="20"/>
          <w:lang w:val="en-US"/>
        </w:rPr>
      </w:pPr>
    </w:p>
    <w:p w14:paraId="63F8D09B" w14:textId="77777777" w:rsidR="00D1762B" w:rsidRDefault="003066E0" w:rsidP="00D1762B">
      <w:pPr>
        <w:spacing w:after="0" w:line="100" w:lineRule="atLeast"/>
        <w:jc w:val="both"/>
        <w:rPr>
          <w:sz w:val="20"/>
          <w:szCs w:val="20"/>
          <w:lang w:val="en-US"/>
        </w:rPr>
      </w:pPr>
      <w:r>
        <w:rPr>
          <w:b/>
          <w:sz w:val="20"/>
          <w:szCs w:val="20"/>
          <w:u w:val="single"/>
          <w:lang w:val="en-US"/>
        </w:rPr>
        <w:t>Utilities</w:t>
      </w:r>
      <w:r w:rsidR="00D1762B">
        <w:rPr>
          <w:b/>
          <w:sz w:val="20"/>
          <w:szCs w:val="20"/>
          <w:lang w:val="en-US"/>
        </w:rPr>
        <w:t xml:space="preserve"> (</w:t>
      </w:r>
      <w:r w:rsidR="005F5A82">
        <w:rPr>
          <w:b/>
          <w:sz w:val="20"/>
          <w:szCs w:val="20"/>
          <w:lang w:val="en-US"/>
        </w:rPr>
        <w:t>Index weight</w:t>
      </w:r>
      <w:r w:rsidR="00AB2FE1">
        <w:rPr>
          <w:b/>
          <w:sz w:val="20"/>
          <w:szCs w:val="20"/>
          <w:lang w:val="en-US"/>
        </w:rPr>
        <w:t>:</w:t>
      </w:r>
      <w:r w:rsidR="0031248B">
        <w:rPr>
          <w:b/>
          <w:sz w:val="20"/>
          <w:szCs w:val="20"/>
          <w:lang w:val="en-US"/>
        </w:rPr>
        <w:t xml:space="preserve"> 3.3</w:t>
      </w:r>
      <w:r w:rsidR="001A4252">
        <w:rPr>
          <w:b/>
          <w:sz w:val="20"/>
          <w:szCs w:val="20"/>
          <w:lang w:val="en-US"/>
        </w:rPr>
        <w:t>%</w:t>
      </w:r>
      <w:r w:rsidR="00D1762B">
        <w:rPr>
          <w:b/>
          <w:sz w:val="20"/>
          <w:szCs w:val="20"/>
          <w:lang w:val="en-US"/>
        </w:rPr>
        <w:t>)</w:t>
      </w:r>
    </w:p>
    <w:p w14:paraId="5B67C6EA" w14:textId="77777777" w:rsidR="00576FA8" w:rsidRDefault="0029430B" w:rsidP="00D1762B">
      <w:pPr>
        <w:spacing w:after="0" w:line="100" w:lineRule="atLeast"/>
        <w:jc w:val="both"/>
        <w:rPr>
          <w:sz w:val="20"/>
          <w:szCs w:val="20"/>
          <w:lang w:val="en-US"/>
        </w:rPr>
      </w:pPr>
      <w:r>
        <w:rPr>
          <w:sz w:val="20"/>
          <w:szCs w:val="20"/>
          <w:lang w:val="en-US"/>
        </w:rPr>
        <w:t>The Utilities sector returned 3.3% during the January Period.   M</w:t>
      </w:r>
      <w:r w:rsidR="0016735F">
        <w:rPr>
          <w:sz w:val="20"/>
          <w:szCs w:val="20"/>
          <w:lang w:val="en-US"/>
        </w:rPr>
        <w:t>ost of the shares in the Utilities sector performed well, with 26 of the 28 components of the sector posting hi</w:t>
      </w:r>
      <w:r>
        <w:rPr>
          <w:sz w:val="20"/>
          <w:szCs w:val="20"/>
          <w:lang w:val="en-US"/>
        </w:rPr>
        <w:t>gher returns during the January Period.</w:t>
      </w:r>
    </w:p>
    <w:p w14:paraId="3746DB78" w14:textId="77777777" w:rsidR="0029430B" w:rsidRDefault="0029430B" w:rsidP="00D1762B">
      <w:pPr>
        <w:spacing w:after="0" w:line="100" w:lineRule="atLeast"/>
        <w:jc w:val="both"/>
        <w:rPr>
          <w:sz w:val="20"/>
          <w:szCs w:val="20"/>
          <w:lang w:val="en-US"/>
        </w:rPr>
      </w:pPr>
    </w:p>
    <w:p w14:paraId="345E69FA" w14:textId="77777777" w:rsidR="00CD2277" w:rsidRDefault="00CD2277" w:rsidP="00D1762B">
      <w:pPr>
        <w:spacing w:after="0" w:line="100" w:lineRule="atLeast"/>
        <w:jc w:val="both"/>
        <w:rPr>
          <w:sz w:val="20"/>
          <w:szCs w:val="20"/>
          <w:lang w:val="en-US"/>
        </w:rPr>
      </w:pPr>
      <w:r>
        <w:rPr>
          <w:sz w:val="20"/>
          <w:szCs w:val="20"/>
          <w:lang w:val="en-US"/>
        </w:rPr>
        <w:t>The Fund’s equity exposures continue to be obtained indirectly via its holding of one or more US-listed exchange traded funds.</w:t>
      </w:r>
    </w:p>
    <w:p w14:paraId="25147E6E" w14:textId="77777777" w:rsidR="00D1762B" w:rsidRDefault="00D1762B" w:rsidP="00D1762B">
      <w:pPr>
        <w:spacing w:after="0" w:line="100" w:lineRule="atLeast"/>
        <w:jc w:val="both"/>
        <w:rPr>
          <w:rFonts w:ascii="Helvetica LT Std" w:hAnsi="Helvetica LT Std" w:cs="Arial"/>
          <w:sz w:val="14"/>
          <w:szCs w:val="14"/>
        </w:rPr>
        <w:sectPr w:rsidR="00D1762B">
          <w:type w:val="continuous"/>
          <w:pgSz w:w="12240" w:h="15840"/>
          <w:pgMar w:top="1296" w:right="1041" w:bottom="1296" w:left="1440" w:header="706" w:footer="720" w:gutter="0"/>
          <w:cols w:num="2" w:space="540"/>
          <w:docGrid w:linePitch="360" w:charSpace="-2049"/>
        </w:sectPr>
      </w:pPr>
      <w:r>
        <w:rPr>
          <w:sz w:val="20"/>
          <w:szCs w:val="20"/>
          <w:lang w:val="en-US"/>
        </w:rPr>
        <w:t xml:space="preserve">  </w:t>
      </w:r>
    </w:p>
    <w:p w14:paraId="1E42F6F0" w14:textId="77777777" w:rsidR="00D1762B" w:rsidRDefault="00D1762B" w:rsidP="00D1762B">
      <w:pPr>
        <w:ind w:right="27"/>
        <w:rPr>
          <w:rFonts w:ascii="Helvetica LT Std" w:hAnsi="Helvetica LT Std" w:cs="Arial"/>
          <w:sz w:val="14"/>
          <w:szCs w:val="14"/>
        </w:rPr>
      </w:pPr>
    </w:p>
    <w:p w14:paraId="0A0818C7" w14:textId="77777777" w:rsidR="00812871" w:rsidRDefault="00D1762B" w:rsidP="00812871">
      <w:pPr>
        <w:ind w:right="27"/>
        <w:rPr>
          <w:rFonts w:ascii="Helvetica LT Std" w:hAnsi="Helvetica LT Std" w:cs="Arial"/>
          <w:sz w:val="16"/>
          <w:szCs w:val="14"/>
        </w:rPr>
      </w:pPr>
      <w:r w:rsidRPr="00BA2429">
        <w:rPr>
          <w:rFonts w:ascii="Helvetica LT Std" w:hAnsi="Helvetica LT Std" w:cs="Arial"/>
          <w:sz w:val="16"/>
          <w:szCs w:val="14"/>
        </w:rPr>
        <w:t>This information has been prepared by</w:t>
      </w:r>
      <w:r w:rsidRPr="00BA2429">
        <w:rPr>
          <w:rFonts w:ascii="Helvetica LT Std" w:hAnsi="Helvetica LT Std" w:cs="Arial"/>
          <w:b/>
          <w:bCs/>
          <w:color w:val="000000"/>
          <w:sz w:val="16"/>
          <w:szCs w:val="14"/>
        </w:rPr>
        <w:t> </w:t>
      </w:r>
      <w:r w:rsidRPr="00BA2429">
        <w:rPr>
          <w:rFonts w:ascii="Helvetica LT Std" w:hAnsi="Helvetica LT Std" w:cs="Arial"/>
          <w:sz w:val="16"/>
          <w:szCs w:val="14"/>
        </w:rPr>
        <w:t xml:space="preserve">BetaShares Capital Ltd (ACN 139 566 868 AFS Licence 341181) (“BetaShares”) the responsible entity of BetaShares </w:t>
      </w:r>
      <w:r w:rsidR="00BA2429" w:rsidRPr="00BA2429">
        <w:rPr>
          <w:rFonts w:ascii="Helvetica LT Std" w:hAnsi="Helvetica LT Std" w:cs="Arial"/>
          <w:sz w:val="16"/>
          <w:szCs w:val="14"/>
        </w:rPr>
        <w:t>S&amp;P 500</w:t>
      </w:r>
      <w:r w:rsidRPr="00BA2429">
        <w:rPr>
          <w:rFonts w:ascii="Helvetica LT Std" w:hAnsi="Helvetica LT Std" w:cs="Arial"/>
          <w:sz w:val="16"/>
          <w:szCs w:val="14"/>
        </w:rPr>
        <w:t xml:space="preserve"> Yield Maximiser Fund (managed fund) (the “Fund”) for adviser use only</w:t>
      </w:r>
      <w:r w:rsidRPr="00BA2429">
        <w:rPr>
          <w:rFonts w:ascii="Helvetica LT Std" w:hAnsi="Helvetica LT Std" w:cs="Arial"/>
          <w:b/>
          <w:bCs/>
          <w:color w:val="000000"/>
          <w:sz w:val="16"/>
          <w:szCs w:val="14"/>
        </w:rPr>
        <w:t xml:space="preserve">.  </w:t>
      </w:r>
      <w:r w:rsidRPr="00BA2429">
        <w:rPr>
          <w:rFonts w:ascii="Helvetica LT Std" w:hAnsi="Helvetica LT Std" w:cs="Arial"/>
          <w:sz w:val="16"/>
          <w:szCs w:val="14"/>
        </w:rPr>
        <w:t>It is general information only and does not take into account any investor’s objectives, financial situation or needs so it may not be appropriate for an investor’s particular circumstances.  Before making an investment decision an investor should consider the product disclosure statement (“PDS”) and their circumstances and obtain financial advice.  The PDS is available at www.betashares.com.au.   This information is not a recommendation or offer to buy units or adopt any particular strategy.   An investment in the Fund is subject to investment risk and the value of units may go down as well as up.  Past performance is not an indication of future performance.  The performance of the Fund is not guaranteed by BetaShares or any other person.  To the extent permitted by law BetaShares accepts no liability for any errors or omissions or loss from reliance on the information herein</w:t>
      </w:r>
      <w:r w:rsidR="00812871">
        <w:rPr>
          <w:rFonts w:ascii="Helvetica LT Std" w:hAnsi="Helvetica LT Std" w:cs="Arial"/>
          <w:sz w:val="16"/>
          <w:szCs w:val="14"/>
        </w:rPr>
        <w:t xml:space="preserve">. </w:t>
      </w:r>
    </w:p>
    <w:p w14:paraId="73AB379F" w14:textId="77777777" w:rsidR="00812871" w:rsidRPr="00812871" w:rsidRDefault="00812871" w:rsidP="00812871">
      <w:pPr>
        <w:ind w:right="27"/>
        <w:rPr>
          <w:rFonts w:ascii="Helvetica LT Std" w:hAnsi="Helvetica LT Std" w:cs="Arial"/>
          <w:sz w:val="16"/>
          <w:szCs w:val="14"/>
        </w:rPr>
      </w:pPr>
      <w:bookmarkStart w:id="1" w:name="KVWin_undoend"/>
      <w:bookmarkEnd w:id="1"/>
      <w:r w:rsidRPr="00812871">
        <w:rPr>
          <w:rFonts w:ascii="Helvetica LT Std" w:hAnsi="Helvetica LT Std" w:cs="Arial"/>
          <w:sz w:val="16"/>
          <w:szCs w:val="14"/>
        </w:rPr>
        <w:t>Standard &amp; Poor’s® and S&amp;P® are registered trademarks of Standard &amp; Poor’s Financial Services LLC (“S&amp;P”).  These trademarks have been licensed for use by BetaShares.  The Fund is not sponsored, endorsed, sold or promoted by S&amp;P or its Affiliates, and S&amp;P and its Affiliates make no representation, warranty or condition regarding the advisability of buying, selling or holding units in the Fund.</w:t>
      </w:r>
      <w:r>
        <w:rPr>
          <w:rFonts w:ascii="Helvetica LT Std" w:hAnsi="Helvetica LT Std" w:cs="Arial"/>
          <w:sz w:val="16"/>
          <w:szCs w:val="14"/>
        </w:rPr>
        <w:t xml:space="preserve"> </w:t>
      </w:r>
      <w:r w:rsidR="00D1762B" w:rsidRPr="00BA2429">
        <w:rPr>
          <w:rFonts w:ascii="Helvetica LT Std" w:hAnsi="Helvetica LT Std" w:cs="Arial"/>
          <w:sz w:val="16"/>
          <w:szCs w:val="14"/>
        </w:rPr>
        <w:t>.</w:t>
      </w:r>
    </w:p>
    <w:sectPr w:rsidR="00812871" w:rsidRPr="00812871" w:rsidSect="003C5830">
      <w:type w:val="continuous"/>
      <w:pgSz w:w="12240" w:h="15840"/>
      <w:pgMar w:top="1296" w:right="1041" w:bottom="1296" w:left="1440" w:header="706" w:footer="720" w:gutter="0"/>
      <w:cols w:space="72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D0FC4" w14:textId="77777777" w:rsidR="001C252F" w:rsidRDefault="001C252F" w:rsidP="0041606F">
      <w:pPr>
        <w:spacing w:after="0" w:line="240" w:lineRule="auto"/>
      </w:pPr>
      <w:r>
        <w:separator/>
      </w:r>
    </w:p>
  </w:endnote>
  <w:endnote w:type="continuationSeparator" w:id="0">
    <w:p w14:paraId="37D8CE41" w14:textId="77777777" w:rsidR="001C252F" w:rsidRDefault="001C252F" w:rsidP="00416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LT Std">
    <w:altName w:val="Arial"/>
    <w:panose1 w:val="00000000000000000000"/>
    <w:charset w:val="00"/>
    <w:family w:val="swiss"/>
    <w:notTrueType/>
    <w:pitch w:val="variable"/>
    <w:sig w:usb0="800002AF" w:usb1="5000204A" w:usb2="00000000" w:usb3="00000000" w:csb0="00000005" w:csb1="00000000"/>
  </w:font>
  <w:font w:name="font345">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4A7D1" w14:textId="77777777" w:rsidR="001C252F" w:rsidRDefault="001C252F" w:rsidP="0041606F">
      <w:pPr>
        <w:spacing w:after="0" w:line="240" w:lineRule="auto"/>
      </w:pPr>
      <w:r>
        <w:separator/>
      </w:r>
    </w:p>
  </w:footnote>
  <w:footnote w:type="continuationSeparator" w:id="0">
    <w:p w14:paraId="04656222" w14:textId="77777777" w:rsidR="001C252F" w:rsidRDefault="001C252F" w:rsidP="00416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CBC42" w14:textId="77777777" w:rsidR="00AF5C25" w:rsidRDefault="00AF5C25">
    <w:pPr>
      <w:pStyle w:val="Header"/>
    </w:pPr>
    <w:r w:rsidRPr="008E405F">
      <w:rPr>
        <w:noProof/>
        <w:lang w:val="en-US" w:eastAsia="en-US"/>
      </w:rPr>
      <w:drawing>
        <wp:anchor distT="0" distB="0" distL="114300" distR="114300" simplePos="0" relativeHeight="251659264" behindDoc="1" locked="0" layoutInCell="1" allowOverlap="1" wp14:anchorId="1CA005A3" wp14:editId="4204ED6C">
          <wp:simplePos x="0" y="0"/>
          <wp:positionH relativeFrom="column">
            <wp:posOffset>-281201</wp:posOffset>
          </wp:positionH>
          <wp:positionV relativeFrom="paragraph">
            <wp:posOffset>-4758</wp:posOffset>
          </wp:positionV>
          <wp:extent cx="1761983" cy="279779"/>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aShares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1983" cy="27977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F75C220-EDDE-4AA9-BE15-212A99D302F5}"/>
    <w:docVar w:name="dgnword-eventsink" w:val="221464920"/>
  </w:docVars>
  <w:rsids>
    <w:rsidRoot w:val="003A1247"/>
    <w:rsid w:val="0000064B"/>
    <w:rsid w:val="00000EBA"/>
    <w:rsid w:val="000016AE"/>
    <w:rsid w:val="000038EF"/>
    <w:rsid w:val="000039E3"/>
    <w:rsid w:val="00004E7C"/>
    <w:rsid w:val="000050A6"/>
    <w:rsid w:val="0000671B"/>
    <w:rsid w:val="00007E77"/>
    <w:rsid w:val="000110B5"/>
    <w:rsid w:val="00011132"/>
    <w:rsid w:val="00013B75"/>
    <w:rsid w:val="00016861"/>
    <w:rsid w:val="00016F68"/>
    <w:rsid w:val="00016FA6"/>
    <w:rsid w:val="000176A5"/>
    <w:rsid w:val="00021256"/>
    <w:rsid w:val="00021616"/>
    <w:rsid w:val="0002163F"/>
    <w:rsid w:val="00025BBF"/>
    <w:rsid w:val="00026905"/>
    <w:rsid w:val="000322BD"/>
    <w:rsid w:val="0003369B"/>
    <w:rsid w:val="00033FCF"/>
    <w:rsid w:val="00035300"/>
    <w:rsid w:val="00037E94"/>
    <w:rsid w:val="00040B3B"/>
    <w:rsid w:val="00040F90"/>
    <w:rsid w:val="00043903"/>
    <w:rsid w:val="00046B58"/>
    <w:rsid w:val="000518FC"/>
    <w:rsid w:val="00051A05"/>
    <w:rsid w:val="000522E1"/>
    <w:rsid w:val="00053778"/>
    <w:rsid w:val="0005403D"/>
    <w:rsid w:val="00054201"/>
    <w:rsid w:val="00054A3A"/>
    <w:rsid w:val="00054C07"/>
    <w:rsid w:val="00056A2E"/>
    <w:rsid w:val="00061BD7"/>
    <w:rsid w:val="000628E3"/>
    <w:rsid w:val="00063B70"/>
    <w:rsid w:val="00064396"/>
    <w:rsid w:val="00064A23"/>
    <w:rsid w:val="00065972"/>
    <w:rsid w:val="00066CBE"/>
    <w:rsid w:val="000700D0"/>
    <w:rsid w:val="00071AFB"/>
    <w:rsid w:val="00072A42"/>
    <w:rsid w:val="000737A8"/>
    <w:rsid w:val="00073AC5"/>
    <w:rsid w:val="000761A4"/>
    <w:rsid w:val="00080441"/>
    <w:rsid w:val="0008302E"/>
    <w:rsid w:val="000842EF"/>
    <w:rsid w:val="000843A9"/>
    <w:rsid w:val="00084F86"/>
    <w:rsid w:val="00085DB6"/>
    <w:rsid w:val="00086809"/>
    <w:rsid w:val="00087848"/>
    <w:rsid w:val="00090194"/>
    <w:rsid w:val="00090660"/>
    <w:rsid w:val="00091C5C"/>
    <w:rsid w:val="00091FF8"/>
    <w:rsid w:val="00092714"/>
    <w:rsid w:val="0009321F"/>
    <w:rsid w:val="0009354B"/>
    <w:rsid w:val="000938E6"/>
    <w:rsid w:val="000941E4"/>
    <w:rsid w:val="00094AEB"/>
    <w:rsid w:val="000956E9"/>
    <w:rsid w:val="00095AEC"/>
    <w:rsid w:val="000966D9"/>
    <w:rsid w:val="00096CB2"/>
    <w:rsid w:val="00096FA2"/>
    <w:rsid w:val="00097567"/>
    <w:rsid w:val="000A00D2"/>
    <w:rsid w:val="000A5808"/>
    <w:rsid w:val="000A5B46"/>
    <w:rsid w:val="000A60CD"/>
    <w:rsid w:val="000A670B"/>
    <w:rsid w:val="000A7EC0"/>
    <w:rsid w:val="000B0563"/>
    <w:rsid w:val="000B0E6D"/>
    <w:rsid w:val="000B3238"/>
    <w:rsid w:val="000B338C"/>
    <w:rsid w:val="000B45EE"/>
    <w:rsid w:val="000B6105"/>
    <w:rsid w:val="000B741F"/>
    <w:rsid w:val="000B76A3"/>
    <w:rsid w:val="000B76B4"/>
    <w:rsid w:val="000B7B43"/>
    <w:rsid w:val="000C1662"/>
    <w:rsid w:val="000C21F4"/>
    <w:rsid w:val="000C3264"/>
    <w:rsid w:val="000C3CCB"/>
    <w:rsid w:val="000C6610"/>
    <w:rsid w:val="000C69DD"/>
    <w:rsid w:val="000C6D58"/>
    <w:rsid w:val="000D0914"/>
    <w:rsid w:val="000D1AE5"/>
    <w:rsid w:val="000D33F0"/>
    <w:rsid w:val="000D4C3E"/>
    <w:rsid w:val="000D61E2"/>
    <w:rsid w:val="000D718C"/>
    <w:rsid w:val="000D7233"/>
    <w:rsid w:val="000E0E26"/>
    <w:rsid w:val="000E1105"/>
    <w:rsid w:val="000E13E2"/>
    <w:rsid w:val="000E1B08"/>
    <w:rsid w:val="000E1F56"/>
    <w:rsid w:val="000E2EB8"/>
    <w:rsid w:val="000E445A"/>
    <w:rsid w:val="000E46E4"/>
    <w:rsid w:val="000E64E5"/>
    <w:rsid w:val="000F1A46"/>
    <w:rsid w:val="000F29F3"/>
    <w:rsid w:val="000F3EB1"/>
    <w:rsid w:val="000F4A11"/>
    <w:rsid w:val="000F4E42"/>
    <w:rsid w:val="000F552F"/>
    <w:rsid w:val="00102027"/>
    <w:rsid w:val="001024C0"/>
    <w:rsid w:val="001075A0"/>
    <w:rsid w:val="00113336"/>
    <w:rsid w:val="00113771"/>
    <w:rsid w:val="00113B2E"/>
    <w:rsid w:val="00114141"/>
    <w:rsid w:val="00116968"/>
    <w:rsid w:val="001169D6"/>
    <w:rsid w:val="00120555"/>
    <w:rsid w:val="001213C7"/>
    <w:rsid w:val="00121585"/>
    <w:rsid w:val="00121A74"/>
    <w:rsid w:val="001220FF"/>
    <w:rsid w:val="001225E5"/>
    <w:rsid w:val="00122D01"/>
    <w:rsid w:val="00123722"/>
    <w:rsid w:val="001239A9"/>
    <w:rsid w:val="001253FB"/>
    <w:rsid w:val="00125F70"/>
    <w:rsid w:val="001279D1"/>
    <w:rsid w:val="001304B9"/>
    <w:rsid w:val="00131EBE"/>
    <w:rsid w:val="001328D8"/>
    <w:rsid w:val="00133864"/>
    <w:rsid w:val="00133B3D"/>
    <w:rsid w:val="00133BCF"/>
    <w:rsid w:val="0013456B"/>
    <w:rsid w:val="001362B7"/>
    <w:rsid w:val="00136453"/>
    <w:rsid w:val="001366E4"/>
    <w:rsid w:val="0014013B"/>
    <w:rsid w:val="001407D0"/>
    <w:rsid w:val="0014347D"/>
    <w:rsid w:val="0014356B"/>
    <w:rsid w:val="001460C8"/>
    <w:rsid w:val="00147D96"/>
    <w:rsid w:val="001506D2"/>
    <w:rsid w:val="001507E6"/>
    <w:rsid w:val="00150BA5"/>
    <w:rsid w:val="00150DC1"/>
    <w:rsid w:val="00152349"/>
    <w:rsid w:val="001524DC"/>
    <w:rsid w:val="001532D7"/>
    <w:rsid w:val="001536B1"/>
    <w:rsid w:val="00155124"/>
    <w:rsid w:val="00155D4B"/>
    <w:rsid w:val="00156970"/>
    <w:rsid w:val="00157C9F"/>
    <w:rsid w:val="001600B2"/>
    <w:rsid w:val="001604EC"/>
    <w:rsid w:val="00163A5F"/>
    <w:rsid w:val="00163DFD"/>
    <w:rsid w:val="00165479"/>
    <w:rsid w:val="001655B4"/>
    <w:rsid w:val="001656AD"/>
    <w:rsid w:val="0016735F"/>
    <w:rsid w:val="001677B1"/>
    <w:rsid w:val="00170668"/>
    <w:rsid w:val="001707BA"/>
    <w:rsid w:val="00172418"/>
    <w:rsid w:val="00173E6F"/>
    <w:rsid w:val="001751FE"/>
    <w:rsid w:val="001752D6"/>
    <w:rsid w:val="00175696"/>
    <w:rsid w:val="001763A7"/>
    <w:rsid w:val="00180A8E"/>
    <w:rsid w:val="00180AF2"/>
    <w:rsid w:val="00180EB7"/>
    <w:rsid w:val="00181470"/>
    <w:rsid w:val="00182E85"/>
    <w:rsid w:val="00187B4A"/>
    <w:rsid w:val="00187FD4"/>
    <w:rsid w:val="0019002F"/>
    <w:rsid w:val="00190367"/>
    <w:rsid w:val="00190FB6"/>
    <w:rsid w:val="00191EF2"/>
    <w:rsid w:val="0019284B"/>
    <w:rsid w:val="00193388"/>
    <w:rsid w:val="00194221"/>
    <w:rsid w:val="001A16C6"/>
    <w:rsid w:val="001A4252"/>
    <w:rsid w:val="001A53C8"/>
    <w:rsid w:val="001A5968"/>
    <w:rsid w:val="001A74A5"/>
    <w:rsid w:val="001B046C"/>
    <w:rsid w:val="001B0FE2"/>
    <w:rsid w:val="001B13CB"/>
    <w:rsid w:val="001B310C"/>
    <w:rsid w:val="001B46DA"/>
    <w:rsid w:val="001B55C2"/>
    <w:rsid w:val="001B56C9"/>
    <w:rsid w:val="001C021E"/>
    <w:rsid w:val="001C0B8A"/>
    <w:rsid w:val="001C10FD"/>
    <w:rsid w:val="001C252F"/>
    <w:rsid w:val="001C2926"/>
    <w:rsid w:val="001C2EE0"/>
    <w:rsid w:val="001C378C"/>
    <w:rsid w:val="001C3D0F"/>
    <w:rsid w:val="001C3FA0"/>
    <w:rsid w:val="001C6952"/>
    <w:rsid w:val="001D0EBD"/>
    <w:rsid w:val="001D3E4D"/>
    <w:rsid w:val="001D41C5"/>
    <w:rsid w:val="001D636E"/>
    <w:rsid w:val="001D63DC"/>
    <w:rsid w:val="001D6B25"/>
    <w:rsid w:val="001D7598"/>
    <w:rsid w:val="001D76A4"/>
    <w:rsid w:val="001E0C88"/>
    <w:rsid w:val="001E1323"/>
    <w:rsid w:val="001E1700"/>
    <w:rsid w:val="001E262C"/>
    <w:rsid w:val="001E4F69"/>
    <w:rsid w:val="001E53DF"/>
    <w:rsid w:val="001E5F71"/>
    <w:rsid w:val="001F025E"/>
    <w:rsid w:val="001F1E6E"/>
    <w:rsid w:val="001F30A6"/>
    <w:rsid w:val="001F329A"/>
    <w:rsid w:val="001F4A34"/>
    <w:rsid w:val="001F4F04"/>
    <w:rsid w:val="001F6701"/>
    <w:rsid w:val="001F670B"/>
    <w:rsid w:val="002008C7"/>
    <w:rsid w:val="0020122A"/>
    <w:rsid w:val="00204DD0"/>
    <w:rsid w:val="00205579"/>
    <w:rsid w:val="00205A25"/>
    <w:rsid w:val="002069B6"/>
    <w:rsid w:val="00206A26"/>
    <w:rsid w:val="00206E4D"/>
    <w:rsid w:val="00210EC4"/>
    <w:rsid w:val="00213A23"/>
    <w:rsid w:val="002154FD"/>
    <w:rsid w:val="002166CB"/>
    <w:rsid w:val="002168BE"/>
    <w:rsid w:val="00217470"/>
    <w:rsid w:val="00217567"/>
    <w:rsid w:val="0021799F"/>
    <w:rsid w:val="0022092D"/>
    <w:rsid w:val="002212AC"/>
    <w:rsid w:val="002220EA"/>
    <w:rsid w:val="00222DD7"/>
    <w:rsid w:val="00222E54"/>
    <w:rsid w:val="00225C53"/>
    <w:rsid w:val="0023087D"/>
    <w:rsid w:val="002318A9"/>
    <w:rsid w:val="00231978"/>
    <w:rsid w:val="00231C14"/>
    <w:rsid w:val="00232C3E"/>
    <w:rsid w:val="0023437A"/>
    <w:rsid w:val="00234F05"/>
    <w:rsid w:val="00236722"/>
    <w:rsid w:val="0023789D"/>
    <w:rsid w:val="002405D1"/>
    <w:rsid w:val="00240FFD"/>
    <w:rsid w:val="00241C5B"/>
    <w:rsid w:val="002449A2"/>
    <w:rsid w:val="00244A1C"/>
    <w:rsid w:val="00247AC2"/>
    <w:rsid w:val="00250225"/>
    <w:rsid w:val="00252F5F"/>
    <w:rsid w:val="00253909"/>
    <w:rsid w:val="0025664B"/>
    <w:rsid w:val="002605BF"/>
    <w:rsid w:val="002611BE"/>
    <w:rsid w:val="00261B2C"/>
    <w:rsid w:val="00266748"/>
    <w:rsid w:val="00270FB1"/>
    <w:rsid w:val="002717FB"/>
    <w:rsid w:val="00272D30"/>
    <w:rsid w:val="00273704"/>
    <w:rsid w:val="00273794"/>
    <w:rsid w:val="002804C8"/>
    <w:rsid w:val="002807AF"/>
    <w:rsid w:val="0028159D"/>
    <w:rsid w:val="00281802"/>
    <w:rsid w:val="0028213B"/>
    <w:rsid w:val="00282183"/>
    <w:rsid w:val="00282AD1"/>
    <w:rsid w:val="0028363A"/>
    <w:rsid w:val="002857E9"/>
    <w:rsid w:val="00286023"/>
    <w:rsid w:val="00286412"/>
    <w:rsid w:val="002865BE"/>
    <w:rsid w:val="00290E99"/>
    <w:rsid w:val="0029149F"/>
    <w:rsid w:val="0029205D"/>
    <w:rsid w:val="002929C8"/>
    <w:rsid w:val="0029430B"/>
    <w:rsid w:val="00294510"/>
    <w:rsid w:val="002968EA"/>
    <w:rsid w:val="002A0A4C"/>
    <w:rsid w:val="002A0FE8"/>
    <w:rsid w:val="002A1B40"/>
    <w:rsid w:val="002A2BAA"/>
    <w:rsid w:val="002A2EF1"/>
    <w:rsid w:val="002A5F66"/>
    <w:rsid w:val="002A5FC1"/>
    <w:rsid w:val="002A6501"/>
    <w:rsid w:val="002A72FD"/>
    <w:rsid w:val="002A76E8"/>
    <w:rsid w:val="002B1211"/>
    <w:rsid w:val="002B26ED"/>
    <w:rsid w:val="002B28B7"/>
    <w:rsid w:val="002B3C0B"/>
    <w:rsid w:val="002B4D7C"/>
    <w:rsid w:val="002B7BC5"/>
    <w:rsid w:val="002C09F4"/>
    <w:rsid w:val="002C2A1E"/>
    <w:rsid w:val="002C3A34"/>
    <w:rsid w:val="002C3CB8"/>
    <w:rsid w:val="002C720E"/>
    <w:rsid w:val="002D08E9"/>
    <w:rsid w:val="002D1136"/>
    <w:rsid w:val="002D44AF"/>
    <w:rsid w:val="002D4F48"/>
    <w:rsid w:val="002D77AF"/>
    <w:rsid w:val="002E001C"/>
    <w:rsid w:val="002E087C"/>
    <w:rsid w:val="002E2CBC"/>
    <w:rsid w:val="002E411B"/>
    <w:rsid w:val="002E53DD"/>
    <w:rsid w:val="002F04CE"/>
    <w:rsid w:val="002F1381"/>
    <w:rsid w:val="002F1383"/>
    <w:rsid w:val="002F1624"/>
    <w:rsid w:val="002F166D"/>
    <w:rsid w:val="002F37C2"/>
    <w:rsid w:val="002F3A2C"/>
    <w:rsid w:val="002F45DE"/>
    <w:rsid w:val="002F4B6F"/>
    <w:rsid w:val="002F64D2"/>
    <w:rsid w:val="002F6B9B"/>
    <w:rsid w:val="002F6E4C"/>
    <w:rsid w:val="002F7594"/>
    <w:rsid w:val="002F7807"/>
    <w:rsid w:val="003001AA"/>
    <w:rsid w:val="0030057A"/>
    <w:rsid w:val="00303AC8"/>
    <w:rsid w:val="00304451"/>
    <w:rsid w:val="003044FC"/>
    <w:rsid w:val="00304A3D"/>
    <w:rsid w:val="003066E0"/>
    <w:rsid w:val="0030772E"/>
    <w:rsid w:val="00312368"/>
    <w:rsid w:val="0031248B"/>
    <w:rsid w:val="0031299C"/>
    <w:rsid w:val="00312A23"/>
    <w:rsid w:val="00312DCC"/>
    <w:rsid w:val="00313BC5"/>
    <w:rsid w:val="00317003"/>
    <w:rsid w:val="0031743B"/>
    <w:rsid w:val="003174A9"/>
    <w:rsid w:val="0032097C"/>
    <w:rsid w:val="00321106"/>
    <w:rsid w:val="0032119A"/>
    <w:rsid w:val="0032215E"/>
    <w:rsid w:val="00324531"/>
    <w:rsid w:val="003277DF"/>
    <w:rsid w:val="00327AA5"/>
    <w:rsid w:val="00327B13"/>
    <w:rsid w:val="00327BD9"/>
    <w:rsid w:val="00331982"/>
    <w:rsid w:val="00331E47"/>
    <w:rsid w:val="00332670"/>
    <w:rsid w:val="00334881"/>
    <w:rsid w:val="003350D2"/>
    <w:rsid w:val="0033585E"/>
    <w:rsid w:val="00337889"/>
    <w:rsid w:val="00337A5B"/>
    <w:rsid w:val="00337F75"/>
    <w:rsid w:val="00340698"/>
    <w:rsid w:val="00343167"/>
    <w:rsid w:val="00343FB9"/>
    <w:rsid w:val="00344687"/>
    <w:rsid w:val="0034567F"/>
    <w:rsid w:val="00345987"/>
    <w:rsid w:val="00345CDC"/>
    <w:rsid w:val="00346014"/>
    <w:rsid w:val="00347B33"/>
    <w:rsid w:val="00347D74"/>
    <w:rsid w:val="0035022F"/>
    <w:rsid w:val="0035037E"/>
    <w:rsid w:val="00351C0C"/>
    <w:rsid w:val="0035391A"/>
    <w:rsid w:val="00353C90"/>
    <w:rsid w:val="003567C3"/>
    <w:rsid w:val="00357166"/>
    <w:rsid w:val="00363427"/>
    <w:rsid w:val="003649EB"/>
    <w:rsid w:val="00365155"/>
    <w:rsid w:val="003658F8"/>
    <w:rsid w:val="00366193"/>
    <w:rsid w:val="00367F89"/>
    <w:rsid w:val="0037148A"/>
    <w:rsid w:val="003717F3"/>
    <w:rsid w:val="00372183"/>
    <w:rsid w:val="0037274E"/>
    <w:rsid w:val="00373824"/>
    <w:rsid w:val="003752FF"/>
    <w:rsid w:val="00376204"/>
    <w:rsid w:val="00381454"/>
    <w:rsid w:val="00382211"/>
    <w:rsid w:val="00382E30"/>
    <w:rsid w:val="003845BC"/>
    <w:rsid w:val="003848CB"/>
    <w:rsid w:val="003851C5"/>
    <w:rsid w:val="00385EA9"/>
    <w:rsid w:val="003862D7"/>
    <w:rsid w:val="0039195E"/>
    <w:rsid w:val="003919C2"/>
    <w:rsid w:val="00392239"/>
    <w:rsid w:val="003929ED"/>
    <w:rsid w:val="0039335C"/>
    <w:rsid w:val="00393639"/>
    <w:rsid w:val="00393AE3"/>
    <w:rsid w:val="00393F1C"/>
    <w:rsid w:val="003941C8"/>
    <w:rsid w:val="003943DE"/>
    <w:rsid w:val="00396DB9"/>
    <w:rsid w:val="003A1247"/>
    <w:rsid w:val="003A1793"/>
    <w:rsid w:val="003A1DEC"/>
    <w:rsid w:val="003A1E2B"/>
    <w:rsid w:val="003A25F4"/>
    <w:rsid w:val="003A56CC"/>
    <w:rsid w:val="003B087C"/>
    <w:rsid w:val="003B18C1"/>
    <w:rsid w:val="003B1C60"/>
    <w:rsid w:val="003B232D"/>
    <w:rsid w:val="003B2F51"/>
    <w:rsid w:val="003B5344"/>
    <w:rsid w:val="003B5667"/>
    <w:rsid w:val="003B578D"/>
    <w:rsid w:val="003B6FCB"/>
    <w:rsid w:val="003B7520"/>
    <w:rsid w:val="003B7C14"/>
    <w:rsid w:val="003C0704"/>
    <w:rsid w:val="003C14E0"/>
    <w:rsid w:val="003C1FB4"/>
    <w:rsid w:val="003C2D28"/>
    <w:rsid w:val="003C5830"/>
    <w:rsid w:val="003C5EC2"/>
    <w:rsid w:val="003C6185"/>
    <w:rsid w:val="003C6976"/>
    <w:rsid w:val="003C6FCA"/>
    <w:rsid w:val="003C7AFE"/>
    <w:rsid w:val="003D0DC3"/>
    <w:rsid w:val="003D1485"/>
    <w:rsid w:val="003D3BE0"/>
    <w:rsid w:val="003D5613"/>
    <w:rsid w:val="003D5D29"/>
    <w:rsid w:val="003D72FE"/>
    <w:rsid w:val="003D7E1D"/>
    <w:rsid w:val="003E043B"/>
    <w:rsid w:val="003E1B8E"/>
    <w:rsid w:val="003E1F75"/>
    <w:rsid w:val="003E2CF6"/>
    <w:rsid w:val="003E2F9E"/>
    <w:rsid w:val="003E41D1"/>
    <w:rsid w:val="003E4562"/>
    <w:rsid w:val="003E50C0"/>
    <w:rsid w:val="003E5570"/>
    <w:rsid w:val="003E569F"/>
    <w:rsid w:val="003E634B"/>
    <w:rsid w:val="003E6BC7"/>
    <w:rsid w:val="003E72FB"/>
    <w:rsid w:val="003E7E29"/>
    <w:rsid w:val="003F57D9"/>
    <w:rsid w:val="003F5E1E"/>
    <w:rsid w:val="003F5F62"/>
    <w:rsid w:val="003F6A49"/>
    <w:rsid w:val="003F6E1E"/>
    <w:rsid w:val="00400449"/>
    <w:rsid w:val="00401336"/>
    <w:rsid w:val="00401686"/>
    <w:rsid w:val="004019B3"/>
    <w:rsid w:val="00402326"/>
    <w:rsid w:val="00402D97"/>
    <w:rsid w:val="004033BC"/>
    <w:rsid w:val="00404631"/>
    <w:rsid w:val="00405256"/>
    <w:rsid w:val="004056AC"/>
    <w:rsid w:val="00405FBB"/>
    <w:rsid w:val="00406412"/>
    <w:rsid w:val="0040650D"/>
    <w:rsid w:val="00410345"/>
    <w:rsid w:val="00410692"/>
    <w:rsid w:val="004107D1"/>
    <w:rsid w:val="004119BF"/>
    <w:rsid w:val="00412E0F"/>
    <w:rsid w:val="00412F93"/>
    <w:rsid w:val="00415B39"/>
    <w:rsid w:val="00415E16"/>
    <w:rsid w:val="0041606F"/>
    <w:rsid w:val="004160C2"/>
    <w:rsid w:val="004162FF"/>
    <w:rsid w:val="004168C0"/>
    <w:rsid w:val="00420569"/>
    <w:rsid w:val="004210BF"/>
    <w:rsid w:val="00421284"/>
    <w:rsid w:val="00423C0D"/>
    <w:rsid w:val="00424813"/>
    <w:rsid w:val="004254E7"/>
    <w:rsid w:val="004256CD"/>
    <w:rsid w:val="00425FDB"/>
    <w:rsid w:val="0042659D"/>
    <w:rsid w:val="00430979"/>
    <w:rsid w:val="004316AF"/>
    <w:rsid w:val="00432785"/>
    <w:rsid w:val="004360A7"/>
    <w:rsid w:val="004370B3"/>
    <w:rsid w:val="0043731B"/>
    <w:rsid w:val="00437ABA"/>
    <w:rsid w:val="00440F3C"/>
    <w:rsid w:val="00440FFB"/>
    <w:rsid w:val="004414E9"/>
    <w:rsid w:val="004416EE"/>
    <w:rsid w:val="00442860"/>
    <w:rsid w:val="00445CC4"/>
    <w:rsid w:val="0044658E"/>
    <w:rsid w:val="00451A7F"/>
    <w:rsid w:val="004532D4"/>
    <w:rsid w:val="00453D0B"/>
    <w:rsid w:val="00454928"/>
    <w:rsid w:val="004561D2"/>
    <w:rsid w:val="00457E5C"/>
    <w:rsid w:val="0046052D"/>
    <w:rsid w:val="004609B2"/>
    <w:rsid w:val="004615A8"/>
    <w:rsid w:val="00461769"/>
    <w:rsid w:val="00462AEF"/>
    <w:rsid w:val="0046383A"/>
    <w:rsid w:val="004652CB"/>
    <w:rsid w:val="00465396"/>
    <w:rsid w:val="00466615"/>
    <w:rsid w:val="004678C3"/>
    <w:rsid w:val="0047111B"/>
    <w:rsid w:val="004718DE"/>
    <w:rsid w:val="004726EE"/>
    <w:rsid w:val="00472E48"/>
    <w:rsid w:val="00472E77"/>
    <w:rsid w:val="00474092"/>
    <w:rsid w:val="004743BE"/>
    <w:rsid w:val="00474B85"/>
    <w:rsid w:val="00475F1F"/>
    <w:rsid w:val="004800C9"/>
    <w:rsid w:val="00480443"/>
    <w:rsid w:val="00481251"/>
    <w:rsid w:val="00485130"/>
    <w:rsid w:val="00485820"/>
    <w:rsid w:val="0048619C"/>
    <w:rsid w:val="004920E5"/>
    <w:rsid w:val="0049440C"/>
    <w:rsid w:val="004948EB"/>
    <w:rsid w:val="00494BC2"/>
    <w:rsid w:val="00496218"/>
    <w:rsid w:val="0049778E"/>
    <w:rsid w:val="00497BE6"/>
    <w:rsid w:val="00497E4F"/>
    <w:rsid w:val="004A0D35"/>
    <w:rsid w:val="004A2752"/>
    <w:rsid w:val="004A4E0C"/>
    <w:rsid w:val="004A5122"/>
    <w:rsid w:val="004A5783"/>
    <w:rsid w:val="004A7D1E"/>
    <w:rsid w:val="004B2B6B"/>
    <w:rsid w:val="004B32AD"/>
    <w:rsid w:val="004B4FF2"/>
    <w:rsid w:val="004B6F37"/>
    <w:rsid w:val="004B6FA3"/>
    <w:rsid w:val="004C0260"/>
    <w:rsid w:val="004C0330"/>
    <w:rsid w:val="004C0C0A"/>
    <w:rsid w:val="004C1405"/>
    <w:rsid w:val="004C2A87"/>
    <w:rsid w:val="004C2CF0"/>
    <w:rsid w:val="004C3034"/>
    <w:rsid w:val="004C31C2"/>
    <w:rsid w:val="004C3BF2"/>
    <w:rsid w:val="004C41CC"/>
    <w:rsid w:val="004C441F"/>
    <w:rsid w:val="004C5C25"/>
    <w:rsid w:val="004C5CF9"/>
    <w:rsid w:val="004C6A39"/>
    <w:rsid w:val="004C76CC"/>
    <w:rsid w:val="004C7ADB"/>
    <w:rsid w:val="004D0097"/>
    <w:rsid w:val="004D01DE"/>
    <w:rsid w:val="004D5822"/>
    <w:rsid w:val="004D75B9"/>
    <w:rsid w:val="004D76F2"/>
    <w:rsid w:val="004E0420"/>
    <w:rsid w:val="004E1827"/>
    <w:rsid w:val="004E2D36"/>
    <w:rsid w:val="004E3772"/>
    <w:rsid w:val="004E3C28"/>
    <w:rsid w:val="004F0C76"/>
    <w:rsid w:val="004F221A"/>
    <w:rsid w:val="004F2C73"/>
    <w:rsid w:val="004F6C47"/>
    <w:rsid w:val="004F773C"/>
    <w:rsid w:val="00500D37"/>
    <w:rsid w:val="00501858"/>
    <w:rsid w:val="00501FB8"/>
    <w:rsid w:val="005032DF"/>
    <w:rsid w:val="00503948"/>
    <w:rsid w:val="00503E5F"/>
    <w:rsid w:val="00505833"/>
    <w:rsid w:val="005069E8"/>
    <w:rsid w:val="00506DFC"/>
    <w:rsid w:val="00507BD4"/>
    <w:rsid w:val="00507ED7"/>
    <w:rsid w:val="0051102F"/>
    <w:rsid w:val="00511096"/>
    <w:rsid w:val="00511E8E"/>
    <w:rsid w:val="00512698"/>
    <w:rsid w:val="00513775"/>
    <w:rsid w:val="005171D0"/>
    <w:rsid w:val="005201A4"/>
    <w:rsid w:val="00521F83"/>
    <w:rsid w:val="005239CC"/>
    <w:rsid w:val="00526770"/>
    <w:rsid w:val="005267F7"/>
    <w:rsid w:val="00530118"/>
    <w:rsid w:val="00530EA0"/>
    <w:rsid w:val="00530F2E"/>
    <w:rsid w:val="005331C1"/>
    <w:rsid w:val="00533499"/>
    <w:rsid w:val="00534330"/>
    <w:rsid w:val="005406DC"/>
    <w:rsid w:val="0054089F"/>
    <w:rsid w:val="00542865"/>
    <w:rsid w:val="0054416A"/>
    <w:rsid w:val="00546005"/>
    <w:rsid w:val="00546457"/>
    <w:rsid w:val="00546D54"/>
    <w:rsid w:val="00546FE7"/>
    <w:rsid w:val="005504BB"/>
    <w:rsid w:val="005518A0"/>
    <w:rsid w:val="00552273"/>
    <w:rsid w:val="00552B20"/>
    <w:rsid w:val="00552D1F"/>
    <w:rsid w:val="00553A76"/>
    <w:rsid w:val="005647D3"/>
    <w:rsid w:val="00565064"/>
    <w:rsid w:val="00566C53"/>
    <w:rsid w:val="00567A39"/>
    <w:rsid w:val="005712BA"/>
    <w:rsid w:val="005746D5"/>
    <w:rsid w:val="005761BF"/>
    <w:rsid w:val="00576FA8"/>
    <w:rsid w:val="00577AB8"/>
    <w:rsid w:val="00577B32"/>
    <w:rsid w:val="00577E92"/>
    <w:rsid w:val="00580FD8"/>
    <w:rsid w:val="005820F3"/>
    <w:rsid w:val="0058309A"/>
    <w:rsid w:val="00583164"/>
    <w:rsid w:val="00583242"/>
    <w:rsid w:val="00584C4B"/>
    <w:rsid w:val="005856E9"/>
    <w:rsid w:val="005857A3"/>
    <w:rsid w:val="00586478"/>
    <w:rsid w:val="00587D52"/>
    <w:rsid w:val="00590ABC"/>
    <w:rsid w:val="0059286A"/>
    <w:rsid w:val="00594369"/>
    <w:rsid w:val="00594E36"/>
    <w:rsid w:val="00595555"/>
    <w:rsid w:val="00595F83"/>
    <w:rsid w:val="00596F4F"/>
    <w:rsid w:val="005A0C51"/>
    <w:rsid w:val="005A182F"/>
    <w:rsid w:val="005A2C57"/>
    <w:rsid w:val="005A3D12"/>
    <w:rsid w:val="005A5E86"/>
    <w:rsid w:val="005A64EC"/>
    <w:rsid w:val="005A7BC3"/>
    <w:rsid w:val="005B15EE"/>
    <w:rsid w:val="005B1E5E"/>
    <w:rsid w:val="005B28E6"/>
    <w:rsid w:val="005B477C"/>
    <w:rsid w:val="005B5889"/>
    <w:rsid w:val="005B5DB0"/>
    <w:rsid w:val="005B623A"/>
    <w:rsid w:val="005C0551"/>
    <w:rsid w:val="005C08E0"/>
    <w:rsid w:val="005C0FCF"/>
    <w:rsid w:val="005C2251"/>
    <w:rsid w:val="005C2677"/>
    <w:rsid w:val="005C29B7"/>
    <w:rsid w:val="005C41C1"/>
    <w:rsid w:val="005C43C5"/>
    <w:rsid w:val="005C5462"/>
    <w:rsid w:val="005C6153"/>
    <w:rsid w:val="005C6A88"/>
    <w:rsid w:val="005D11E5"/>
    <w:rsid w:val="005D1B4E"/>
    <w:rsid w:val="005D23D8"/>
    <w:rsid w:val="005D2512"/>
    <w:rsid w:val="005D2FB4"/>
    <w:rsid w:val="005D3D2D"/>
    <w:rsid w:val="005D5072"/>
    <w:rsid w:val="005D5C15"/>
    <w:rsid w:val="005D7FDE"/>
    <w:rsid w:val="005E03AB"/>
    <w:rsid w:val="005E08C0"/>
    <w:rsid w:val="005F1D5C"/>
    <w:rsid w:val="005F2031"/>
    <w:rsid w:val="005F2793"/>
    <w:rsid w:val="005F2E5E"/>
    <w:rsid w:val="005F3BFF"/>
    <w:rsid w:val="005F4B7C"/>
    <w:rsid w:val="005F5A82"/>
    <w:rsid w:val="005F5D32"/>
    <w:rsid w:val="005F6509"/>
    <w:rsid w:val="005F6E25"/>
    <w:rsid w:val="006002C4"/>
    <w:rsid w:val="00601A8C"/>
    <w:rsid w:val="00602862"/>
    <w:rsid w:val="006028A8"/>
    <w:rsid w:val="00603AB0"/>
    <w:rsid w:val="006056DD"/>
    <w:rsid w:val="006061EA"/>
    <w:rsid w:val="0060654D"/>
    <w:rsid w:val="00612C0E"/>
    <w:rsid w:val="00612DC4"/>
    <w:rsid w:val="00613A79"/>
    <w:rsid w:val="0061413A"/>
    <w:rsid w:val="0061457F"/>
    <w:rsid w:val="0061499E"/>
    <w:rsid w:val="00615A28"/>
    <w:rsid w:val="0061604F"/>
    <w:rsid w:val="006178E0"/>
    <w:rsid w:val="0062192B"/>
    <w:rsid w:val="006225BD"/>
    <w:rsid w:val="00623EB7"/>
    <w:rsid w:val="0062418F"/>
    <w:rsid w:val="00630F81"/>
    <w:rsid w:val="00632311"/>
    <w:rsid w:val="00632349"/>
    <w:rsid w:val="00632F86"/>
    <w:rsid w:val="00633A46"/>
    <w:rsid w:val="00637058"/>
    <w:rsid w:val="006373A0"/>
    <w:rsid w:val="006406D1"/>
    <w:rsid w:val="0064224F"/>
    <w:rsid w:val="00642CFE"/>
    <w:rsid w:val="00645010"/>
    <w:rsid w:val="006450E9"/>
    <w:rsid w:val="00652623"/>
    <w:rsid w:val="006527CD"/>
    <w:rsid w:val="00652833"/>
    <w:rsid w:val="006548A1"/>
    <w:rsid w:val="00654B4D"/>
    <w:rsid w:val="00656A00"/>
    <w:rsid w:val="006605D2"/>
    <w:rsid w:val="00660884"/>
    <w:rsid w:val="00660E9C"/>
    <w:rsid w:val="006618CE"/>
    <w:rsid w:val="00661AAA"/>
    <w:rsid w:val="00661D6C"/>
    <w:rsid w:val="00662B49"/>
    <w:rsid w:val="00665069"/>
    <w:rsid w:val="00666352"/>
    <w:rsid w:val="00667FA2"/>
    <w:rsid w:val="0067232D"/>
    <w:rsid w:val="00672D07"/>
    <w:rsid w:val="00672DC0"/>
    <w:rsid w:val="00677D11"/>
    <w:rsid w:val="00677FE5"/>
    <w:rsid w:val="006808D7"/>
    <w:rsid w:val="00681EDC"/>
    <w:rsid w:val="0068304B"/>
    <w:rsid w:val="00685A95"/>
    <w:rsid w:val="00685F35"/>
    <w:rsid w:val="00687283"/>
    <w:rsid w:val="00690807"/>
    <w:rsid w:val="006911EC"/>
    <w:rsid w:val="0069144C"/>
    <w:rsid w:val="00692FC2"/>
    <w:rsid w:val="00694F90"/>
    <w:rsid w:val="006953BC"/>
    <w:rsid w:val="00695963"/>
    <w:rsid w:val="0069617C"/>
    <w:rsid w:val="00697C28"/>
    <w:rsid w:val="006A1628"/>
    <w:rsid w:val="006A198B"/>
    <w:rsid w:val="006A198E"/>
    <w:rsid w:val="006A36E2"/>
    <w:rsid w:val="006A3A47"/>
    <w:rsid w:val="006A478D"/>
    <w:rsid w:val="006A4A25"/>
    <w:rsid w:val="006A4F63"/>
    <w:rsid w:val="006A6170"/>
    <w:rsid w:val="006A62DB"/>
    <w:rsid w:val="006A757A"/>
    <w:rsid w:val="006A7B76"/>
    <w:rsid w:val="006B1F2A"/>
    <w:rsid w:val="006B2A2E"/>
    <w:rsid w:val="006B4050"/>
    <w:rsid w:val="006B61AF"/>
    <w:rsid w:val="006C07F1"/>
    <w:rsid w:val="006C0D71"/>
    <w:rsid w:val="006C0F3A"/>
    <w:rsid w:val="006C14EB"/>
    <w:rsid w:val="006C1DFC"/>
    <w:rsid w:val="006C2C9A"/>
    <w:rsid w:val="006C335F"/>
    <w:rsid w:val="006C3368"/>
    <w:rsid w:val="006C3F8C"/>
    <w:rsid w:val="006C4A5D"/>
    <w:rsid w:val="006C5923"/>
    <w:rsid w:val="006C691A"/>
    <w:rsid w:val="006C76A2"/>
    <w:rsid w:val="006D06DD"/>
    <w:rsid w:val="006D0FDA"/>
    <w:rsid w:val="006D6A67"/>
    <w:rsid w:val="006E1686"/>
    <w:rsid w:val="006E1FED"/>
    <w:rsid w:val="006E29B0"/>
    <w:rsid w:val="006E3F09"/>
    <w:rsid w:val="006E6223"/>
    <w:rsid w:val="006E63D9"/>
    <w:rsid w:val="006F0867"/>
    <w:rsid w:val="006F3695"/>
    <w:rsid w:val="006F3DF2"/>
    <w:rsid w:val="006F5129"/>
    <w:rsid w:val="006F5748"/>
    <w:rsid w:val="006F6A0A"/>
    <w:rsid w:val="0070448D"/>
    <w:rsid w:val="00705181"/>
    <w:rsid w:val="00706CB1"/>
    <w:rsid w:val="007074FB"/>
    <w:rsid w:val="00707686"/>
    <w:rsid w:val="00707BED"/>
    <w:rsid w:val="00710C1E"/>
    <w:rsid w:val="00710E36"/>
    <w:rsid w:val="0071201D"/>
    <w:rsid w:val="0071476F"/>
    <w:rsid w:val="0071686D"/>
    <w:rsid w:val="00717B09"/>
    <w:rsid w:val="00720290"/>
    <w:rsid w:val="00720676"/>
    <w:rsid w:val="0072118F"/>
    <w:rsid w:val="007215DA"/>
    <w:rsid w:val="00724046"/>
    <w:rsid w:val="0072434F"/>
    <w:rsid w:val="00725F5D"/>
    <w:rsid w:val="00730900"/>
    <w:rsid w:val="007375CE"/>
    <w:rsid w:val="00740BB9"/>
    <w:rsid w:val="00741173"/>
    <w:rsid w:val="007420C8"/>
    <w:rsid w:val="00745BA2"/>
    <w:rsid w:val="007468A0"/>
    <w:rsid w:val="007479F0"/>
    <w:rsid w:val="007510D7"/>
    <w:rsid w:val="00753484"/>
    <w:rsid w:val="007551AC"/>
    <w:rsid w:val="00755D8E"/>
    <w:rsid w:val="0075621B"/>
    <w:rsid w:val="00757990"/>
    <w:rsid w:val="0076000E"/>
    <w:rsid w:val="0076012E"/>
    <w:rsid w:val="00760A90"/>
    <w:rsid w:val="00762F82"/>
    <w:rsid w:val="00762FE9"/>
    <w:rsid w:val="00763EE1"/>
    <w:rsid w:val="007640BE"/>
    <w:rsid w:val="007646E7"/>
    <w:rsid w:val="00765EBD"/>
    <w:rsid w:val="00767590"/>
    <w:rsid w:val="00770709"/>
    <w:rsid w:val="00770F7D"/>
    <w:rsid w:val="00771DC9"/>
    <w:rsid w:val="00771E3B"/>
    <w:rsid w:val="00773939"/>
    <w:rsid w:val="0077393E"/>
    <w:rsid w:val="00773963"/>
    <w:rsid w:val="00773A07"/>
    <w:rsid w:val="00774316"/>
    <w:rsid w:val="00774F9B"/>
    <w:rsid w:val="007761F0"/>
    <w:rsid w:val="0077648C"/>
    <w:rsid w:val="00777C2F"/>
    <w:rsid w:val="00780403"/>
    <w:rsid w:val="007808E2"/>
    <w:rsid w:val="00781FAC"/>
    <w:rsid w:val="00786385"/>
    <w:rsid w:val="007865FB"/>
    <w:rsid w:val="00790382"/>
    <w:rsid w:val="007908A0"/>
    <w:rsid w:val="00790B02"/>
    <w:rsid w:val="0079174E"/>
    <w:rsid w:val="007918A3"/>
    <w:rsid w:val="00791EED"/>
    <w:rsid w:val="00793534"/>
    <w:rsid w:val="00794C29"/>
    <w:rsid w:val="007959DC"/>
    <w:rsid w:val="007974FB"/>
    <w:rsid w:val="00797A8B"/>
    <w:rsid w:val="007A0832"/>
    <w:rsid w:val="007A1611"/>
    <w:rsid w:val="007A202B"/>
    <w:rsid w:val="007A2BB3"/>
    <w:rsid w:val="007A31AA"/>
    <w:rsid w:val="007A45F5"/>
    <w:rsid w:val="007A4C24"/>
    <w:rsid w:val="007A74FE"/>
    <w:rsid w:val="007A78DB"/>
    <w:rsid w:val="007B0C3D"/>
    <w:rsid w:val="007B1382"/>
    <w:rsid w:val="007B1FF7"/>
    <w:rsid w:val="007B2360"/>
    <w:rsid w:val="007B2B7B"/>
    <w:rsid w:val="007B3B17"/>
    <w:rsid w:val="007B424A"/>
    <w:rsid w:val="007B488E"/>
    <w:rsid w:val="007B5141"/>
    <w:rsid w:val="007B5144"/>
    <w:rsid w:val="007B66E4"/>
    <w:rsid w:val="007C1589"/>
    <w:rsid w:val="007C1E51"/>
    <w:rsid w:val="007C3306"/>
    <w:rsid w:val="007C3871"/>
    <w:rsid w:val="007C40DC"/>
    <w:rsid w:val="007C523F"/>
    <w:rsid w:val="007C5253"/>
    <w:rsid w:val="007D0781"/>
    <w:rsid w:val="007D1C05"/>
    <w:rsid w:val="007D3FA8"/>
    <w:rsid w:val="007D6D33"/>
    <w:rsid w:val="007D75CE"/>
    <w:rsid w:val="007E298C"/>
    <w:rsid w:val="007E364A"/>
    <w:rsid w:val="007E5ED7"/>
    <w:rsid w:val="007E67C4"/>
    <w:rsid w:val="007E6C2A"/>
    <w:rsid w:val="007E6D51"/>
    <w:rsid w:val="007F0639"/>
    <w:rsid w:val="007F18BF"/>
    <w:rsid w:val="007F3BC6"/>
    <w:rsid w:val="007F446A"/>
    <w:rsid w:val="007F5138"/>
    <w:rsid w:val="007F700E"/>
    <w:rsid w:val="007F7CE3"/>
    <w:rsid w:val="0080045F"/>
    <w:rsid w:val="00801098"/>
    <w:rsid w:val="0080179B"/>
    <w:rsid w:val="00801FDC"/>
    <w:rsid w:val="00802935"/>
    <w:rsid w:val="0080339D"/>
    <w:rsid w:val="00804687"/>
    <w:rsid w:val="00807493"/>
    <w:rsid w:val="00807715"/>
    <w:rsid w:val="00810557"/>
    <w:rsid w:val="00812871"/>
    <w:rsid w:val="008131E4"/>
    <w:rsid w:val="00813D6C"/>
    <w:rsid w:val="00814F25"/>
    <w:rsid w:val="0081616F"/>
    <w:rsid w:val="00816DE4"/>
    <w:rsid w:val="008213B4"/>
    <w:rsid w:val="0082145E"/>
    <w:rsid w:val="0082223C"/>
    <w:rsid w:val="008232A7"/>
    <w:rsid w:val="00824A75"/>
    <w:rsid w:val="008262D8"/>
    <w:rsid w:val="00830A26"/>
    <w:rsid w:val="00833025"/>
    <w:rsid w:val="0083330E"/>
    <w:rsid w:val="00833329"/>
    <w:rsid w:val="00835CA8"/>
    <w:rsid w:val="00836A70"/>
    <w:rsid w:val="00836EB1"/>
    <w:rsid w:val="0084050C"/>
    <w:rsid w:val="00841618"/>
    <w:rsid w:val="0084245F"/>
    <w:rsid w:val="00842575"/>
    <w:rsid w:val="00842823"/>
    <w:rsid w:val="00843725"/>
    <w:rsid w:val="008443E9"/>
    <w:rsid w:val="00844D92"/>
    <w:rsid w:val="00844FED"/>
    <w:rsid w:val="00847EA7"/>
    <w:rsid w:val="008512FB"/>
    <w:rsid w:val="0085339C"/>
    <w:rsid w:val="0085487C"/>
    <w:rsid w:val="00860C13"/>
    <w:rsid w:val="00860C9A"/>
    <w:rsid w:val="008613A3"/>
    <w:rsid w:val="0086175A"/>
    <w:rsid w:val="00861910"/>
    <w:rsid w:val="00861BB9"/>
    <w:rsid w:val="00861D58"/>
    <w:rsid w:val="0086355A"/>
    <w:rsid w:val="008664EA"/>
    <w:rsid w:val="008726BE"/>
    <w:rsid w:val="008752DA"/>
    <w:rsid w:val="008764A6"/>
    <w:rsid w:val="0087762E"/>
    <w:rsid w:val="00880BF8"/>
    <w:rsid w:val="00881166"/>
    <w:rsid w:val="008823EF"/>
    <w:rsid w:val="00883442"/>
    <w:rsid w:val="00883A6A"/>
    <w:rsid w:val="00883D9D"/>
    <w:rsid w:val="008866DB"/>
    <w:rsid w:val="00886B2C"/>
    <w:rsid w:val="008870B0"/>
    <w:rsid w:val="00893083"/>
    <w:rsid w:val="00893341"/>
    <w:rsid w:val="00893D25"/>
    <w:rsid w:val="00894F54"/>
    <w:rsid w:val="0089571F"/>
    <w:rsid w:val="00897EB5"/>
    <w:rsid w:val="008A2786"/>
    <w:rsid w:val="008A3506"/>
    <w:rsid w:val="008A4413"/>
    <w:rsid w:val="008A53A0"/>
    <w:rsid w:val="008B12D4"/>
    <w:rsid w:val="008B2BE8"/>
    <w:rsid w:val="008B3E1F"/>
    <w:rsid w:val="008B3F4B"/>
    <w:rsid w:val="008B45F8"/>
    <w:rsid w:val="008B486B"/>
    <w:rsid w:val="008B5456"/>
    <w:rsid w:val="008B5459"/>
    <w:rsid w:val="008C045E"/>
    <w:rsid w:val="008C0A2E"/>
    <w:rsid w:val="008C340D"/>
    <w:rsid w:val="008C38E9"/>
    <w:rsid w:val="008C4229"/>
    <w:rsid w:val="008C4ED6"/>
    <w:rsid w:val="008C555C"/>
    <w:rsid w:val="008C58ED"/>
    <w:rsid w:val="008C66A7"/>
    <w:rsid w:val="008C6990"/>
    <w:rsid w:val="008C6BD3"/>
    <w:rsid w:val="008C7096"/>
    <w:rsid w:val="008D1902"/>
    <w:rsid w:val="008D26C2"/>
    <w:rsid w:val="008D2C12"/>
    <w:rsid w:val="008D36C6"/>
    <w:rsid w:val="008D401C"/>
    <w:rsid w:val="008D4B7E"/>
    <w:rsid w:val="008D4B88"/>
    <w:rsid w:val="008D4BC2"/>
    <w:rsid w:val="008D7162"/>
    <w:rsid w:val="008E0EA4"/>
    <w:rsid w:val="008E0EC0"/>
    <w:rsid w:val="008E22DB"/>
    <w:rsid w:val="008E3541"/>
    <w:rsid w:val="008E35BD"/>
    <w:rsid w:val="008E397B"/>
    <w:rsid w:val="008E405F"/>
    <w:rsid w:val="008E5CA8"/>
    <w:rsid w:val="008E6396"/>
    <w:rsid w:val="008F1489"/>
    <w:rsid w:val="008F1841"/>
    <w:rsid w:val="008F1A94"/>
    <w:rsid w:val="008F3453"/>
    <w:rsid w:val="008F349E"/>
    <w:rsid w:val="008F35FA"/>
    <w:rsid w:val="008F72B1"/>
    <w:rsid w:val="008F77EB"/>
    <w:rsid w:val="00901651"/>
    <w:rsid w:val="00903908"/>
    <w:rsid w:val="00903C15"/>
    <w:rsid w:val="009043D0"/>
    <w:rsid w:val="009056B2"/>
    <w:rsid w:val="00910420"/>
    <w:rsid w:val="00910747"/>
    <w:rsid w:val="00911C49"/>
    <w:rsid w:val="00912AAA"/>
    <w:rsid w:val="0091311F"/>
    <w:rsid w:val="0091386F"/>
    <w:rsid w:val="00913C53"/>
    <w:rsid w:val="00914A3B"/>
    <w:rsid w:val="00916105"/>
    <w:rsid w:val="00916499"/>
    <w:rsid w:val="0091707C"/>
    <w:rsid w:val="009175FB"/>
    <w:rsid w:val="009179ED"/>
    <w:rsid w:val="00920015"/>
    <w:rsid w:val="009213F4"/>
    <w:rsid w:val="00921637"/>
    <w:rsid w:val="009245A4"/>
    <w:rsid w:val="00924BCB"/>
    <w:rsid w:val="00926354"/>
    <w:rsid w:val="009276E3"/>
    <w:rsid w:val="009277FF"/>
    <w:rsid w:val="00930149"/>
    <w:rsid w:val="0093384C"/>
    <w:rsid w:val="009372EB"/>
    <w:rsid w:val="009432F0"/>
    <w:rsid w:val="009452A5"/>
    <w:rsid w:val="00946F6D"/>
    <w:rsid w:val="00947E1A"/>
    <w:rsid w:val="00947FCC"/>
    <w:rsid w:val="009514E0"/>
    <w:rsid w:val="00951EF4"/>
    <w:rsid w:val="00953164"/>
    <w:rsid w:val="00953190"/>
    <w:rsid w:val="0095341C"/>
    <w:rsid w:val="00954471"/>
    <w:rsid w:val="00955484"/>
    <w:rsid w:val="00961BDE"/>
    <w:rsid w:val="0096249D"/>
    <w:rsid w:val="0096393F"/>
    <w:rsid w:val="00964E07"/>
    <w:rsid w:val="00965262"/>
    <w:rsid w:val="00965315"/>
    <w:rsid w:val="009673A3"/>
    <w:rsid w:val="0097100F"/>
    <w:rsid w:val="00972B95"/>
    <w:rsid w:val="0097395F"/>
    <w:rsid w:val="00973AA8"/>
    <w:rsid w:val="0097451C"/>
    <w:rsid w:val="009753DA"/>
    <w:rsid w:val="009767E4"/>
    <w:rsid w:val="00977896"/>
    <w:rsid w:val="00980D1A"/>
    <w:rsid w:val="00981444"/>
    <w:rsid w:val="0098241E"/>
    <w:rsid w:val="00982D59"/>
    <w:rsid w:val="00983570"/>
    <w:rsid w:val="009843C9"/>
    <w:rsid w:val="00985593"/>
    <w:rsid w:val="00985B81"/>
    <w:rsid w:val="00986926"/>
    <w:rsid w:val="009873F8"/>
    <w:rsid w:val="009874BC"/>
    <w:rsid w:val="00987D57"/>
    <w:rsid w:val="00992BC2"/>
    <w:rsid w:val="00994121"/>
    <w:rsid w:val="00994BE8"/>
    <w:rsid w:val="00995082"/>
    <w:rsid w:val="00996A90"/>
    <w:rsid w:val="009A12EB"/>
    <w:rsid w:val="009A1A80"/>
    <w:rsid w:val="009A3826"/>
    <w:rsid w:val="009A3C77"/>
    <w:rsid w:val="009A3FED"/>
    <w:rsid w:val="009A4754"/>
    <w:rsid w:val="009A4B63"/>
    <w:rsid w:val="009A5333"/>
    <w:rsid w:val="009A5913"/>
    <w:rsid w:val="009A5F2D"/>
    <w:rsid w:val="009A6444"/>
    <w:rsid w:val="009B1D54"/>
    <w:rsid w:val="009B2855"/>
    <w:rsid w:val="009B5E25"/>
    <w:rsid w:val="009B7BB0"/>
    <w:rsid w:val="009C094B"/>
    <w:rsid w:val="009C0D15"/>
    <w:rsid w:val="009C1272"/>
    <w:rsid w:val="009C14F6"/>
    <w:rsid w:val="009C1518"/>
    <w:rsid w:val="009C2DEB"/>
    <w:rsid w:val="009C3C2F"/>
    <w:rsid w:val="009C404D"/>
    <w:rsid w:val="009C5E9A"/>
    <w:rsid w:val="009C6EC4"/>
    <w:rsid w:val="009C7309"/>
    <w:rsid w:val="009D00C7"/>
    <w:rsid w:val="009D0EC8"/>
    <w:rsid w:val="009D1C86"/>
    <w:rsid w:val="009D2CAC"/>
    <w:rsid w:val="009D3C99"/>
    <w:rsid w:val="009D400C"/>
    <w:rsid w:val="009D48C6"/>
    <w:rsid w:val="009D58E7"/>
    <w:rsid w:val="009D604E"/>
    <w:rsid w:val="009D7E98"/>
    <w:rsid w:val="009E09AA"/>
    <w:rsid w:val="009E3403"/>
    <w:rsid w:val="009E37CF"/>
    <w:rsid w:val="009E5427"/>
    <w:rsid w:val="009E57B8"/>
    <w:rsid w:val="009E5F27"/>
    <w:rsid w:val="009F0198"/>
    <w:rsid w:val="009F06A6"/>
    <w:rsid w:val="009F11BB"/>
    <w:rsid w:val="009F3408"/>
    <w:rsid w:val="009F40FC"/>
    <w:rsid w:val="009F44B2"/>
    <w:rsid w:val="009F59F1"/>
    <w:rsid w:val="009F69ED"/>
    <w:rsid w:val="009F6B48"/>
    <w:rsid w:val="009F7DFA"/>
    <w:rsid w:val="00A00720"/>
    <w:rsid w:val="00A014FF"/>
    <w:rsid w:val="00A075BA"/>
    <w:rsid w:val="00A11BE0"/>
    <w:rsid w:val="00A140E6"/>
    <w:rsid w:val="00A14B9C"/>
    <w:rsid w:val="00A14F40"/>
    <w:rsid w:val="00A166DF"/>
    <w:rsid w:val="00A16BA1"/>
    <w:rsid w:val="00A17E26"/>
    <w:rsid w:val="00A20274"/>
    <w:rsid w:val="00A219A9"/>
    <w:rsid w:val="00A21AA4"/>
    <w:rsid w:val="00A22933"/>
    <w:rsid w:val="00A248CA"/>
    <w:rsid w:val="00A26292"/>
    <w:rsid w:val="00A266AF"/>
    <w:rsid w:val="00A26F1D"/>
    <w:rsid w:val="00A26F7A"/>
    <w:rsid w:val="00A27EAB"/>
    <w:rsid w:val="00A31186"/>
    <w:rsid w:val="00A31620"/>
    <w:rsid w:val="00A322AF"/>
    <w:rsid w:val="00A333AD"/>
    <w:rsid w:val="00A36042"/>
    <w:rsid w:val="00A36A9C"/>
    <w:rsid w:val="00A37944"/>
    <w:rsid w:val="00A425D8"/>
    <w:rsid w:val="00A427DE"/>
    <w:rsid w:val="00A439E6"/>
    <w:rsid w:val="00A44F5C"/>
    <w:rsid w:val="00A4562D"/>
    <w:rsid w:val="00A47ED4"/>
    <w:rsid w:val="00A54104"/>
    <w:rsid w:val="00A5469C"/>
    <w:rsid w:val="00A55588"/>
    <w:rsid w:val="00A600E4"/>
    <w:rsid w:val="00A61D0C"/>
    <w:rsid w:val="00A624FD"/>
    <w:rsid w:val="00A631DD"/>
    <w:rsid w:val="00A6380C"/>
    <w:rsid w:val="00A63B85"/>
    <w:rsid w:val="00A64271"/>
    <w:rsid w:val="00A64497"/>
    <w:rsid w:val="00A644BB"/>
    <w:rsid w:val="00A6588F"/>
    <w:rsid w:val="00A66B8B"/>
    <w:rsid w:val="00A67B85"/>
    <w:rsid w:val="00A67B90"/>
    <w:rsid w:val="00A71F3F"/>
    <w:rsid w:val="00A74938"/>
    <w:rsid w:val="00A75523"/>
    <w:rsid w:val="00A772D4"/>
    <w:rsid w:val="00A777A2"/>
    <w:rsid w:val="00A804C6"/>
    <w:rsid w:val="00A81848"/>
    <w:rsid w:val="00A81FF2"/>
    <w:rsid w:val="00A83E5E"/>
    <w:rsid w:val="00A8448A"/>
    <w:rsid w:val="00A86863"/>
    <w:rsid w:val="00A9169E"/>
    <w:rsid w:val="00A91AE2"/>
    <w:rsid w:val="00A92C9A"/>
    <w:rsid w:val="00A94316"/>
    <w:rsid w:val="00AA0DF2"/>
    <w:rsid w:val="00AA2116"/>
    <w:rsid w:val="00AA3F01"/>
    <w:rsid w:val="00AA3FB4"/>
    <w:rsid w:val="00AA5F61"/>
    <w:rsid w:val="00AA7E1D"/>
    <w:rsid w:val="00AB13F3"/>
    <w:rsid w:val="00AB1F97"/>
    <w:rsid w:val="00AB202C"/>
    <w:rsid w:val="00AB2FE1"/>
    <w:rsid w:val="00AB3F11"/>
    <w:rsid w:val="00AB461D"/>
    <w:rsid w:val="00AB4BF0"/>
    <w:rsid w:val="00AB579B"/>
    <w:rsid w:val="00AB6141"/>
    <w:rsid w:val="00AB653A"/>
    <w:rsid w:val="00AB7EE4"/>
    <w:rsid w:val="00AC1E35"/>
    <w:rsid w:val="00AC1E51"/>
    <w:rsid w:val="00AC2682"/>
    <w:rsid w:val="00AC2EF9"/>
    <w:rsid w:val="00AC48C5"/>
    <w:rsid w:val="00AD01B0"/>
    <w:rsid w:val="00AD01D6"/>
    <w:rsid w:val="00AD1C72"/>
    <w:rsid w:val="00AD2099"/>
    <w:rsid w:val="00AD25BA"/>
    <w:rsid w:val="00AD292E"/>
    <w:rsid w:val="00AD2B9D"/>
    <w:rsid w:val="00AD2DA7"/>
    <w:rsid w:val="00AD37A7"/>
    <w:rsid w:val="00AD495A"/>
    <w:rsid w:val="00AD4C1F"/>
    <w:rsid w:val="00AD4DBB"/>
    <w:rsid w:val="00AD4E8C"/>
    <w:rsid w:val="00AD677E"/>
    <w:rsid w:val="00AE01E6"/>
    <w:rsid w:val="00AE087A"/>
    <w:rsid w:val="00AE1776"/>
    <w:rsid w:val="00AE2235"/>
    <w:rsid w:val="00AE3104"/>
    <w:rsid w:val="00AE3904"/>
    <w:rsid w:val="00AE4319"/>
    <w:rsid w:val="00AE62A2"/>
    <w:rsid w:val="00AE70B4"/>
    <w:rsid w:val="00AE7CE9"/>
    <w:rsid w:val="00AF0AEA"/>
    <w:rsid w:val="00AF18FD"/>
    <w:rsid w:val="00AF3582"/>
    <w:rsid w:val="00AF3BFD"/>
    <w:rsid w:val="00AF44ED"/>
    <w:rsid w:val="00AF54D9"/>
    <w:rsid w:val="00AF5593"/>
    <w:rsid w:val="00AF5C25"/>
    <w:rsid w:val="00AF70DA"/>
    <w:rsid w:val="00AF7ACE"/>
    <w:rsid w:val="00AF7EC2"/>
    <w:rsid w:val="00B0010C"/>
    <w:rsid w:val="00B00838"/>
    <w:rsid w:val="00B03AD9"/>
    <w:rsid w:val="00B03DE5"/>
    <w:rsid w:val="00B0520C"/>
    <w:rsid w:val="00B05B33"/>
    <w:rsid w:val="00B05E83"/>
    <w:rsid w:val="00B06FBD"/>
    <w:rsid w:val="00B0774C"/>
    <w:rsid w:val="00B07873"/>
    <w:rsid w:val="00B07D62"/>
    <w:rsid w:val="00B07F80"/>
    <w:rsid w:val="00B11691"/>
    <w:rsid w:val="00B125E4"/>
    <w:rsid w:val="00B12992"/>
    <w:rsid w:val="00B13A14"/>
    <w:rsid w:val="00B160E2"/>
    <w:rsid w:val="00B20559"/>
    <w:rsid w:val="00B21124"/>
    <w:rsid w:val="00B21A25"/>
    <w:rsid w:val="00B27CCD"/>
    <w:rsid w:val="00B30C7B"/>
    <w:rsid w:val="00B32081"/>
    <w:rsid w:val="00B34108"/>
    <w:rsid w:val="00B3654E"/>
    <w:rsid w:val="00B36AE2"/>
    <w:rsid w:val="00B41153"/>
    <w:rsid w:val="00B4120B"/>
    <w:rsid w:val="00B41658"/>
    <w:rsid w:val="00B4208D"/>
    <w:rsid w:val="00B4248F"/>
    <w:rsid w:val="00B4275A"/>
    <w:rsid w:val="00B4376A"/>
    <w:rsid w:val="00B4400C"/>
    <w:rsid w:val="00B44186"/>
    <w:rsid w:val="00B446D8"/>
    <w:rsid w:val="00B45355"/>
    <w:rsid w:val="00B5080B"/>
    <w:rsid w:val="00B5234F"/>
    <w:rsid w:val="00B52B9C"/>
    <w:rsid w:val="00B56534"/>
    <w:rsid w:val="00B56E9E"/>
    <w:rsid w:val="00B57580"/>
    <w:rsid w:val="00B60C50"/>
    <w:rsid w:val="00B60EB6"/>
    <w:rsid w:val="00B6385E"/>
    <w:rsid w:val="00B644B7"/>
    <w:rsid w:val="00B64521"/>
    <w:rsid w:val="00B66751"/>
    <w:rsid w:val="00B73DA9"/>
    <w:rsid w:val="00B74FD2"/>
    <w:rsid w:val="00B76015"/>
    <w:rsid w:val="00B769D9"/>
    <w:rsid w:val="00B77F22"/>
    <w:rsid w:val="00B80903"/>
    <w:rsid w:val="00B822E9"/>
    <w:rsid w:val="00B822EF"/>
    <w:rsid w:val="00B8241E"/>
    <w:rsid w:val="00B82C44"/>
    <w:rsid w:val="00B8352F"/>
    <w:rsid w:val="00B842AC"/>
    <w:rsid w:val="00B85D96"/>
    <w:rsid w:val="00B87BE7"/>
    <w:rsid w:val="00B90C0D"/>
    <w:rsid w:val="00B91D47"/>
    <w:rsid w:val="00B91E97"/>
    <w:rsid w:val="00B94290"/>
    <w:rsid w:val="00B967F4"/>
    <w:rsid w:val="00B96E31"/>
    <w:rsid w:val="00B97D22"/>
    <w:rsid w:val="00BA0A10"/>
    <w:rsid w:val="00BA148A"/>
    <w:rsid w:val="00BA236A"/>
    <w:rsid w:val="00BA2429"/>
    <w:rsid w:val="00BA3504"/>
    <w:rsid w:val="00BA45F5"/>
    <w:rsid w:val="00BA62DE"/>
    <w:rsid w:val="00BA73C2"/>
    <w:rsid w:val="00BA7676"/>
    <w:rsid w:val="00BB0531"/>
    <w:rsid w:val="00BB0F08"/>
    <w:rsid w:val="00BB0F89"/>
    <w:rsid w:val="00BB19EF"/>
    <w:rsid w:val="00BB38EA"/>
    <w:rsid w:val="00BB4B86"/>
    <w:rsid w:val="00BB6C68"/>
    <w:rsid w:val="00BB777F"/>
    <w:rsid w:val="00BB77DD"/>
    <w:rsid w:val="00BB7BE1"/>
    <w:rsid w:val="00BC17EF"/>
    <w:rsid w:val="00BC4636"/>
    <w:rsid w:val="00BC4E44"/>
    <w:rsid w:val="00BC6073"/>
    <w:rsid w:val="00BD0663"/>
    <w:rsid w:val="00BD26A9"/>
    <w:rsid w:val="00BD3256"/>
    <w:rsid w:val="00BD3896"/>
    <w:rsid w:val="00BD489B"/>
    <w:rsid w:val="00BD56C2"/>
    <w:rsid w:val="00BD57E2"/>
    <w:rsid w:val="00BD707C"/>
    <w:rsid w:val="00BD72BF"/>
    <w:rsid w:val="00BD742D"/>
    <w:rsid w:val="00BD7BE8"/>
    <w:rsid w:val="00BE001C"/>
    <w:rsid w:val="00BE071D"/>
    <w:rsid w:val="00BE0CE6"/>
    <w:rsid w:val="00BE0FC0"/>
    <w:rsid w:val="00BE385F"/>
    <w:rsid w:val="00BE39C4"/>
    <w:rsid w:val="00BE4D48"/>
    <w:rsid w:val="00BE4FBC"/>
    <w:rsid w:val="00BE6B80"/>
    <w:rsid w:val="00BF0DF3"/>
    <w:rsid w:val="00BF2BEC"/>
    <w:rsid w:val="00BF2DEE"/>
    <w:rsid w:val="00BF3C1F"/>
    <w:rsid w:val="00BF3FCC"/>
    <w:rsid w:val="00BF4401"/>
    <w:rsid w:val="00BF4790"/>
    <w:rsid w:val="00BF50F2"/>
    <w:rsid w:val="00BF5393"/>
    <w:rsid w:val="00BF54C2"/>
    <w:rsid w:val="00BF5DDB"/>
    <w:rsid w:val="00C00ED9"/>
    <w:rsid w:val="00C037DF"/>
    <w:rsid w:val="00C04697"/>
    <w:rsid w:val="00C04AAE"/>
    <w:rsid w:val="00C053BD"/>
    <w:rsid w:val="00C101C3"/>
    <w:rsid w:val="00C10303"/>
    <w:rsid w:val="00C106B8"/>
    <w:rsid w:val="00C10A2B"/>
    <w:rsid w:val="00C10B0B"/>
    <w:rsid w:val="00C11172"/>
    <w:rsid w:val="00C12CDF"/>
    <w:rsid w:val="00C132B7"/>
    <w:rsid w:val="00C1339C"/>
    <w:rsid w:val="00C14470"/>
    <w:rsid w:val="00C16079"/>
    <w:rsid w:val="00C16F8B"/>
    <w:rsid w:val="00C20CD2"/>
    <w:rsid w:val="00C2354F"/>
    <w:rsid w:val="00C2419C"/>
    <w:rsid w:val="00C245C8"/>
    <w:rsid w:val="00C249A9"/>
    <w:rsid w:val="00C24DF1"/>
    <w:rsid w:val="00C2757F"/>
    <w:rsid w:val="00C3026D"/>
    <w:rsid w:val="00C30471"/>
    <w:rsid w:val="00C30679"/>
    <w:rsid w:val="00C316BA"/>
    <w:rsid w:val="00C321BC"/>
    <w:rsid w:val="00C32D3E"/>
    <w:rsid w:val="00C33377"/>
    <w:rsid w:val="00C34126"/>
    <w:rsid w:val="00C3431A"/>
    <w:rsid w:val="00C360C8"/>
    <w:rsid w:val="00C37FD0"/>
    <w:rsid w:val="00C405B0"/>
    <w:rsid w:val="00C40FB9"/>
    <w:rsid w:val="00C42A82"/>
    <w:rsid w:val="00C43D9C"/>
    <w:rsid w:val="00C45827"/>
    <w:rsid w:val="00C45C3C"/>
    <w:rsid w:val="00C510CA"/>
    <w:rsid w:val="00C52090"/>
    <w:rsid w:val="00C5251B"/>
    <w:rsid w:val="00C53090"/>
    <w:rsid w:val="00C53328"/>
    <w:rsid w:val="00C534E4"/>
    <w:rsid w:val="00C53B1D"/>
    <w:rsid w:val="00C53DBE"/>
    <w:rsid w:val="00C53E8B"/>
    <w:rsid w:val="00C53FE3"/>
    <w:rsid w:val="00C546A9"/>
    <w:rsid w:val="00C55F73"/>
    <w:rsid w:val="00C56724"/>
    <w:rsid w:val="00C57B1B"/>
    <w:rsid w:val="00C63511"/>
    <w:rsid w:val="00C637D0"/>
    <w:rsid w:val="00C67B43"/>
    <w:rsid w:val="00C72285"/>
    <w:rsid w:val="00C72383"/>
    <w:rsid w:val="00C72B9D"/>
    <w:rsid w:val="00C72DF9"/>
    <w:rsid w:val="00C73F36"/>
    <w:rsid w:val="00C80029"/>
    <w:rsid w:val="00C80612"/>
    <w:rsid w:val="00C80A93"/>
    <w:rsid w:val="00C81BBA"/>
    <w:rsid w:val="00C822D8"/>
    <w:rsid w:val="00C82C55"/>
    <w:rsid w:val="00C8395D"/>
    <w:rsid w:val="00C861D5"/>
    <w:rsid w:val="00C86338"/>
    <w:rsid w:val="00C87859"/>
    <w:rsid w:val="00C90103"/>
    <w:rsid w:val="00C9139E"/>
    <w:rsid w:val="00C914D8"/>
    <w:rsid w:val="00C9191E"/>
    <w:rsid w:val="00C9315C"/>
    <w:rsid w:val="00C957DC"/>
    <w:rsid w:val="00C96D84"/>
    <w:rsid w:val="00CA0FF8"/>
    <w:rsid w:val="00CA2011"/>
    <w:rsid w:val="00CA3464"/>
    <w:rsid w:val="00CA35FF"/>
    <w:rsid w:val="00CA40C7"/>
    <w:rsid w:val="00CA7554"/>
    <w:rsid w:val="00CA7BA6"/>
    <w:rsid w:val="00CB0499"/>
    <w:rsid w:val="00CB1A83"/>
    <w:rsid w:val="00CB3068"/>
    <w:rsid w:val="00CB39C3"/>
    <w:rsid w:val="00CB43B8"/>
    <w:rsid w:val="00CB48B4"/>
    <w:rsid w:val="00CB4BCD"/>
    <w:rsid w:val="00CB7641"/>
    <w:rsid w:val="00CB77CB"/>
    <w:rsid w:val="00CC006F"/>
    <w:rsid w:val="00CC20BC"/>
    <w:rsid w:val="00CC46C5"/>
    <w:rsid w:val="00CC4854"/>
    <w:rsid w:val="00CC4DE1"/>
    <w:rsid w:val="00CC536D"/>
    <w:rsid w:val="00CC5C08"/>
    <w:rsid w:val="00CC64C6"/>
    <w:rsid w:val="00CC6526"/>
    <w:rsid w:val="00CC72E3"/>
    <w:rsid w:val="00CD0415"/>
    <w:rsid w:val="00CD1CF0"/>
    <w:rsid w:val="00CD2277"/>
    <w:rsid w:val="00CD391B"/>
    <w:rsid w:val="00CD43A8"/>
    <w:rsid w:val="00CD509D"/>
    <w:rsid w:val="00CD55D9"/>
    <w:rsid w:val="00CD5BA0"/>
    <w:rsid w:val="00CD640E"/>
    <w:rsid w:val="00CD7CA6"/>
    <w:rsid w:val="00CE02E2"/>
    <w:rsid w:val="00CE0634"/>
    <w:rsid w:val="00CE0956"/>
    <w:rsid w:val="00CF11F1"/>
    <w:rsid w:val="00CF1FE0"/>
    <w:rsid w:val="00CF285E"/>
    <w:rsid w:val="00CF2E1B"/>
    <w:rsid w:val="00CF356B"/>
    <w:rsid w:val="00CF45B1"/>
    <w:rsid w:val="00CF6BF7"/>
    <w:rsid w:val="00CF7C9A"/>
    <w:rsid w:val="00D019DB"/>
    <w:rsid w:val="00D02D83"/>
    <w:rsid w:val="00D0397E"/>
    <w:rsid w:val="00D04168"/>
    <w:rsid w:val="00D05B6A"/>
    <w:rsid w:val="00D05CD7"/>
    <w:rsid w:val="00D06D3F"/>
    <w:rsid w:val="00D101C9"/>
    <w:rsid w:val="00D10472"/>
    <w:rsid w:val="00D104E7"/>
    <w:rsid w:val="00D10B17"/>
    <w:rsid w:val="00D11176"/>
    <w:rsid w:val="00D13B0B"/>
    <w:rsid w:val="00D15417"/>
    <w:rsid w:val="00D16509"/>
    <w:rsid w:val="00D1762B"/>
    <w:rsid w:val="00D17879"/>
    <w:rsid w:val="00D204D4"/>
    <w:rsid w:val="00D22423"/>
    <w:rsid w:val="00D226AA"/>
    <w:rsid w:val="00D245FC"/>
    <w:rsid w:val="00D24825"/>
    <w:rsid w:val="00D25689"/>
    <w:rsid w:val="00D27FE0"/>
    <w:rsid w:val="00D305FA"/>
    <w:rsid w:val="00D31028"/>
    <w:rsid w:val="00D32D02"/>
    <w:rsid w:val="00D36056"/>
    <w:rsid w:val="00D3723C"/>
    <w:rsid w:val="00D40325"/>
    <w:rsid w:val="00D40980"/>
    <w:rsid w:val="00D409BF"/>
    <w:rsid w:val="00D411CA"/>
    <w:rsid w:val="00D41802"/>
    <w:rsid w:val="00D45EA5"/>
    <w:rsid w:val="00D513E1"/>
    <w:rsid w:val="00D51D0C"/>
    <w:rsid w:val="00D52BF2"/>
    <w:rsid w:val="00D53AB8"/>
    <w:rsid w:val="00D572CA"/>
    <w:rsid w:val="00D57A19"/>
    <w:rsid w:val="00D57DF6"/>
    <w:rsid w:val="00D60FB4"/>
    <w:rsid w:val="00D629B4"/>
    <w:rsid w:val="00D648F5"/>
    <w:rsid w:val="00D649E8"/>
    <w:rsid w:val="00D65CB6"/>
    <w:rsid w:val="00D66E9C"/>
    <w:rsid w:val="00D67B59"/>
    <w:rsid w:val="00D67BAC"/>
    <w:rsid w:val="00D70E27"/>
    <w:rsid w:val="00D7124B"/>
    <w:rsid w:val="00D73E79"/>
    <w:rsid w:val="00D7450D"/>
    <w:rsid w:val="00D75189"/>
    <w:rsid w:val="00D77B03"/>
    <w:rsid w:val="00D8026A"/>
    <w:rsid w:val="00D81BA6"/>
    <w:rsid w:val="00D84EBE"/>
    <w:rsid w:val="00D85A64"/>
    <w:rsid w:val="00D87763"/>
    <w:rsid w:val="00D87E6D"/>
    <w:rsid w:val="00D967BA"/>
    <w:rsid w:val="00D97789"/>
    <w:rsid w:val="00D97AB4"/>
    <w:rsid w:val="00DA1C71"/>
    <w:rsid w:val="00DA56F1"/>
    <w:rsid w:val="00DA6229"/>
    <w:rsid w:val="00DA66EB"/>
    <w:rsid w:val="00DA7614"/>
    <w:rsid w:val="00DA7836"/>
    <w:rsid w:val="00DA7EA9"/>
    <w:rsid w:val="00DB0654"/>
    <w:rsid w:val="00DB5422"/>
    <w:rsid w:val="00DB5984"/>
    <w:rsid w:val="00DB6D1F"/>
    <w:rsid w:val="00DC0E0C"/>
    <w:rsid w:val="00DC2273"/>
    <w:rsid w:val="00DC2662"/>
    <w:rsid w:val="00DC3454"/>
    <w:rsid w:val="00DC3848"/>
    <w:rsid w:val="00DC43F3"/>
    <w:rsid w:val="00DC4534"/>
    <w:rsid w:val="00DC61E4"/>
    <w:rsid w:val="00DC7798"/>
    <w:rsid w:val="00DD17A5"/>
    <w:rsid w:val="00DD36E2"/>
    <w:rsid w:val="00DD37C7"/>
    <w:rsid w:val="00DD3C9E"/>
    <w:rsid w:val="00DD6C6D"/>
    <w:rsid w:val="00DE1A0B"/>
    <w:rsid w:val="00DE1AEF"/>
    <w:rsid w:val="00DE2A85"/>
    <w:rsid w:val="00DE3CA4"/>
    <w:rsid w:val="00DE58B3"/>
    <w:rsid w:val="00DE60C1"/>
    <w:rsid w:val="00DE6401"/>
    <w:rsid w:val="00DE78BF"/>
    <w:rsid w:val="00DF04C4"/>
    <w:rsid w:val="00DF04E6"/>
    <w:rsid w:val="00DF1E09"/>
    <w:rsid w:val="00DF27FE"/>
    <w:rsid w:val="00DF3855"/>
    <w:rsid w:val="00DF40CC"/>
    <w:rsid w:val="00DF43EB"/>
    <w:rsid w:val="00DF54EC"/>
    <w:rsid w:val="00DF5D5F"/>
    <w:rsid w:val="00DF6018"/>
    <w:rsid w:val="00DF629D"/>
    <w:rsid w:val="00E006BB"/>
    <w:rsid w:val="00E00E3E"/>
    <w:rsid w:val="00E030B8"/>
    <w:rsid w:val="00E0461B"/>
    <w:rsid w:val="00E04776"/>
    <w:rsid w:val="00E04B66"/>
    <w:rsid w:val="00E05DE3"/>
    <w:rsid w:val="00E06450"/>
    <w:rsid w:val="00E06824"/>
    <w:rsid w:val="00E106FC"/>
    <w:rsid w:val="00E10745"/>
    <w:rsid w:val="00E15682"/>
    <w:rsid w:val="00E157FE"/>
    <w:rsid w:val="00E16002"/>
    <w:rsid w:val="00E16EC6"/>
    <w:rsid w:val="00E1717B"/>
    <w:rsid w:val="00E20291"/>
    <w:rsid w:val="00E202EF"/>
    <w:rsid w:val="00E205B3"/>
    <w:rsid w:val="00E2323C"/>
    <w:rsid w:val="00E23249"/>
    <w:rsid w:val="00E23BA1"/>
    <w:rsid w:val="00E23C97"/>
    <w:rsid w:val="00E25826"/>
    <w:rsid w:val="00E26537"/>
    <w:rsid w:val="00E27451"/>
    <w:rsid w:val="00E30F1B"/>
    <w:rsid w:val="00E32C46"/>
    <w:rsid w:val="00E33C94"/>
    <w:rsid w:val="00E34BFA"/>
    <w:rsid w:val="00E35910"/>
    <w:rsid w:val="00E41DD1"/>
    <w:rsid w:val="00E42077"/>
    <w:rsid w:val="00E42DED"/>
    <w:rsid w:val="00E43B4F"/>
    <w:rsid w:val="00E43C44"/>
    <w:rsid w:val="00E454D2"/>
    <w:rsid w:val="00E45D55"/>
    <w:rsid w:val="00E463F8"/>
    <w:rsid w:val="00E46FA9"/>
    <w:rsid w:val="00E47841"/>
    <w:rsid w:val="00E527C0"/>
    <w:rsid w:val="00E5296D"/>
    <w:rsid w:val="00E52CAF"/>
    <w:rsid w:val="00E52F03"/>
    <w:rsid w:val="00E54A7F"/>
    <w:rsid w:val="00E54C11"/>
    <w:rsid w:val="00E5579D"/>
    <w:rsid w:val="00E561A2"/>
    <w:rsid w:val="00E563DE"/>
    <w:rsid w:val="00E57D46"/>
    <w:rsid w:val="00E609C0"/>
    <w:rsid w:val="00E66601"/>
    <w:rsid w:val="00E66FF1"/>
    <w:rsid w:val="00E670F8"/>
    <w:rsid w:val="00E70076"/>
    <w:rsid w:val="00E71F1C"/>
    <w:rsid w:val="00E72550"/>
    <w:rsid w:val="00E75148"/>
    <w:rsid w:val="00E776A8"/>
    <w:rsid w:val="00E77F1D"/>
    <w:rsid w:val="00E812A6"/>
    <w:rsid w:val="00E832B5"/>
    <w:rsid w:val="00E839AE"/>
    <w:rsid w:val="00E83A36"/>
    <w:rsid w:val="00E84467"/>
    <w:rsid w:val="00E857D3"/>
    <w:rsid w:val="00E86157"/>
    <w:rsid w:val="00E86587"/>
    <w:rsid w:val="00E9009F"/>
    <w:rsid w:val="00E90933"/>
    <w:rsid w:val="00E9189E"/>
    <w:rsid w:val="00E92508"/>
    <w:rsid w:val="00E9357C"/>
    <w:rsid w:val="00E93611"/>
    <w:rsid w:val="00E93D01"/>
    <w:rsid w:val="00E94508"/>
    <w:rsid w:val="00E950E3"/>
    <w:rsid w:val="00E96259"/>
    <w:rsid w:val="00E97378"/>
    <w:rsid w:val="00E97CAF"/>
    <w:rsid w:val="00E97EDD"/>
    <w:rsid w:val="00EA4E3F"/>
    <w:rsid w:val="00EA5222"/>
    <w:rsid w:val="00EA69A4"/>
    <w:rsid w:val="00EA79EA"/>
    <w:rsid w:val="00EB0B89"/>
    <w:rsid w:val="00EB2BC3"/>
    <w:rsid w:val="00EB52CA"/>
    <w:rsid w:val="00EB6361"/>
    <w:rsid w:val="00EB6752"/>
    <w:rsid w:val="00EB70E2"/>
    <w:rsid w:val="00EB713B"/>
    <w:rsid w:val="00EB7741"/>
    <w:rsid w:val="00EC0199"/>
    <w:rsid w:val="00EC0215"/>
    <w:rsid w:val="00EC064E"/>
    <w:rsid w:val="00EC3267"/>
    <w:rsid w:val="00EC3AA0"/>
    <w:rsid w:val="00EC3DC9"/>
    <w:rsid w:val="00EC4F85"/>
    <w:rsid w:val="00EC5B4F"/>
    <w:rsid w:val="00EC646C"/>
    <w:rsid w:val="00ED0257"/>
    <w:rsid w:val="00ED15D1"/>
    <w:rsid w:val="00ED1C02"/>
    <w:rsid w:val="00ED3324"/>
    <w:rsid w:val="00ED3637"/>
    <w:rsid w:val="00EE1FD4"/>
    <w:rsid w:val="00EE2435"/>
    <w:rsid w:val="00EE5D6C"/>
    <w:rsid w:val="00EE5EED"/>
    <w:rsid w:val="00EE7C6A"/>
    <w:rsid w:val="00EF047C"/>
    <w:rsid w:val="00EF0A97"/>
    <w:rsid w:val="00EF1859"/>
    <w:rsid w:val="00EF2458"/>
    <w:rsid w:val="00EF2EA5"/>
    <w:rsid w:val="00EF303E"/>
    <w:rsid w:val="00EF3CCC"/>
    <w:rsid w:val="00EF40A6"/>
    <w:rsid w:val="00EF46BC"/>
    <w:rsid w:val="00EF7665"/>
    <w:rsid w:val="00EF77F0"/>
    <w:rsid w:val="00EF7F56"/>
    <w:rsid w:val="00F00B69"/>
    <w:rsid w:val="00F023A8"/>
    <w:rsid w:val="00F059E0"/>
    <w:rsid w:val="00F107EE"/>
    <w:rsid w:val="00F10B10"/>
    <w:rsid w:val="00F13CF9"/>
    <w:rsid w:val="00F13D07"/>
    <w:rsid w:val="00F159B8"/>
    <w:rsid w:val="00F2059A"/>
    <w:rsid w:val="00F2195C"/>
    <w:rsid w:val="00F22D81"/>
    <w:rsid w:val="00F22E9D"/>
    <w:rsid w:val="00F236D6"/>
    <w:rsid w:val="00F237F0"/>
    <w:rsid w:val="00F23AB2"/>
    <w:rsid w:val="00F25059"/>
    <w:rsid w:val="00F26F2F"/>
    <w:rsid w:val="00F27588"/>
    <w:rsid w:val="00F27F7B"/>
    <w:rsid w:val="00F31CDE"/>
    <w:rsid w:val="00F32EFF"/>
    <w:rsid w:val="00F33ADC"/>
    <w:rsid w:val="00F33F71"/>
    <w:rsid w:val="00F347FD"/>
    <w:rsid w:val="00F3506D"/>
    <w:rsid w:val="00F35084"/>
    <w:rsid w:val="00F376EF"/>
    <w:rsid w:val="00F41273"/>
    <w:rsid w:val="00F425DE"/>
    <w:rsid w:val="00F43D15"/>
    <w:rsid w:val="00F44BC3"/>
    <w:rsid w:val="00F464B0"/>
    <w:rsid w:val="00F473E0"/>
    <w:rsid w:val="00F477B6"/>
    <w:rsid w:val="00F503B9"/>
    <w:rsid w:val="00F50DE2"/>
    <w:rsid w:val="00F51885"/>
    <w:rsid w:val="00F52F38"/>
    <w:rsid w:val="00F53874"/>
    <w:rsid w:val="00F5556A"/>
    <w:rsid w:val="00F55FAB"/>
    <w:rsid w:val="00F60070"/>
    <w:rsid w:val="00F60504"/>
    <w:rsid w:val="00F62983"/>
    <w:rsid w:val="00F645C8"/>
    <w:rsid w:val="00F6553A"/>
    <w:rsid w:val="00F65E1A"/>
    <w:rsid w:val="00F66BDC"/>
    <w:rsid w:val="00F67189"/>
    <w:rsid w:val="00F701D4"/>
    <w:rsid w:val="00F7141A"/>
    <w:rsid w:val="00F71922"/>
    <w:rsid w:val="00F72DAE"/>
    <w:rsid w:val="00F734B2"/>
    <w:rsid w:val="00F74F4D"/>
    <w:rsid w:val="00F7606E"/>
    <w:rsid w:val="00F7715E"/>
    <w:rsid w:val="00F77EB5"/>
    <w:rsid w:val="00F80261"/>
    <w:rsid w:val="00F80399"/>
    <w:rsid w:val="00F80576"/>
    <w:rsid w:val="00F8241F"/>
    <w:rsid w:val="00F8289C"/>
    <w:rsid w:val="00F837C3"/>
    <w:rsid w:val="00F83B44"/>
    <w:rsid w:val="00F862E1"/>
    <w:rsid w:val="00F86740"/>
    <w:rsid w:val="00F904FA"/>
    <w:rsid w:val="00F90B00"/>
    <w:rsid w:val="00F91B08"/>
    <w:rsid w:val="00F94D0A"/>
    <w:rsid w:val="00F95172"/>
    <w:rsid w:val="00F95E08"/>
    <w:rsid w:val="00FA1B81"/>
    <w:rsid w:val="00FA4807"/>
    <w:rsid w:val="00FA5949"/>
    <w:rsid w:val="00FA60BA"/>
    <w:rsid w:val="00FA6414"/>
    <w:rsid w:val="00FA7A79"/>
    <w:rsid w:val="00FA7C88"/>
    <w:rsid w:val="00FA7D63"/>
    <w:rsid w:val="00FB46E1"/>
    <w:rsid w:val="00FB6E6F"/>
    <w:rsid w:val="00FB74FD"/>
    <w:rsid w:val="00FB75FF"/>
    <w:rsid w:val="00FB765B"/>
    <w:rsid w:val="00FC0533"/>
    <w:rsid w:val="00FC0C45"/>
    <w:rsid w:val="00FC19D8"/>
    <w:rsid w:val="00FC392A"/>
    <w:rsid w:val="00FC3D25"/>
    <w:rsid w:val="00FC62D4"/>
    <w:rsid w:val="00FC6EE2"/>
    <w:rsid w:val="00FD02A5"/>
    <w:rsid w:val="00FD09EA"/>
    <w:rsid w:val="00FD1E33"/>
    <w:rsid w:val="00FD5458"/>
    <w:rsid w:val="00FD610E"/>
    <w:rsid w:val="00FD6781"/>
    <w:rsid w:val="00FD6E5C"/>
    <w:rsid w:val="00FD7416"/>
    <w:rsid w:val="00FE0684"/>
    <w:rsid w:val="00FE08B9"/>
    <w:rsid w:val="00FE1063"/>
    <w:rsid w:val="00FE116C"/>
    <w:rsid w:val="00FE22AE"/>
    <w:rsid w:val="00FE26A9"/>
    <w:rsid w:val="00FE26E1"/>
    <w:rsid w:val="00FE2901"/>
    <w:rsid w:val="00FE33D9"/>
    <w:rsid w:val="00FE37B2"/>
    <w:rsid w:val="00FE4212"/>
    <w:rsid w:val="00FE5DFF"/>
    <w:rsid w:val="00FE6169"/>
    <w:rsid w:val="00FE6268"/>
    <w:rsid w:val="00FE7478"/>
    <w:rsid w:val="00FE7D31"/>
    <w:rsid w:val="00FF0AA3"/>
    <w:rsid w:val="00FF11C9"/>
    <w:rsid w:val="00FF1FCF"/>
    <w:rsid w:val="00FF39A6"/>
    <w:rsid w:val="00FF64C2"/>
    <w:rsid w:val="00FF6E0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0A645"/>
  <w15:docId w15:val="{32DB888C-BE5F-40E3-AA6C-05E7A49A5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5E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E08"/>
    <w:rPr>
      <w:rFonts w:ascii="Tahoma" w:hAnsi="Tahoma" w:cs="Tahoma"/>
      <w:sz w:val="16"/>
      <w:szCs w:val="16"/>
    </w:rPr>
  </w:style>
  <w:style w:type="paragraph" w:styleId="FootnoteText">
    <w:name w:val="footnote text"/>
    <w:basedOn w:val="Normal"/>
    <w:link w:val="FootnoteTextChar"/>
    <w:uiPriority w:val="99"/>
    <w:semiHidden/>
    <w:unhideWhenUsed/>
    <w:rsid w:val="004160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606F"/>
    <w:rPr>
      <w:sz w:val="20"/>
      <w:szCs w:val="20"/>
    </w:rPr>
  </w:style>
  <w:style w:type="character" w:styleId="FootnoteReference">
    <w:name w:val="footnote reference"/>
    <w:basedOn w:val="DefaultParagraphFont"/>
    <w:uiPriority w:val="99"/>
    <w:semiHidden/>
    <w:unhideWhenUsed/>
    <w:rsid w:val="0041606F"/>
    <w:rPr>
      <w:vertAlign w:val="superscript"/>
    </w:rPr>
  </w:style>
  <w:style w:type="table" w:styleId="TableGrid">
    <w:name w:val="Table Grid"/>
    <w:basedOn w:val="TableNormal"/>
    <w:uiPriority w:val="59"/>
    <w:rsid w:val="00B03AD9"/>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E40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405F"/>
  </w:style>
  <w:style w:type="paragraph" w:styleId="Footer">
    <w:name w:val="footer"/>
    <w:basedOn w:val="Normal"/>
    <w:link w:val="FooterChar"/>
    <w:uiPriority w:val="99"/>
    <w:unhideWhenUsed/>
    <w:rsid w:val="008E40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405F"/>
  </w:style>
  <w:style w:type="paragraph" w:customStyle="1" w:styleId="Standard">
    <w:name w:val="Standard"/>
    <w:rsid w:val="002220EA"/>
    <w:pPr>
      <w:suppressAutoHyphens/>
      <w:autoSpaceDN w:val="0"/>
      <w:textAlignment w:val="baseline"/>
    </w:pPr>
    <w:rPr>
      <w:rFonts w:ascii="Calibri" w:eastAsia="SimSun" w:hAnsi="Calibri" w:cs="Calibri"/>
      <w:kern w:val="3"/>
    </w:rPr>
  </w:style>
  <w:style w:type="character" w:styleId="CommentReference">
    <w:name w:val="annotation reference"/>
    <w:basedOn w:val="DefaultParagraphFont"/>
    <w:uiPriority w:val="99"/>
    <w:semiHidden/>
    <w:unhideWhenUsed/>
    <w:rsid w:val="00222E54"/>
    <w:rPr>
      <w:sz w:val="16"/>
      <w:szCs w:val="16"/>
    </w:rPr>
  </w:style>
  <w:style w:type="paragraph" w:styleId="CommentText">
    <w:name w:val="annotation text"/>
    <w:basedOn w:val="Normal"/>
    <w:link w:val="CommentTextChar"/>
    <w:uiPriority w:val="99"/>
    <w:semiHidden/>
    <w:unhideWhenUsed/>
    <w:rsid w:val="00222E54"/>
    <w:pPr>
      <w:spacing w:line="240" w:lineRule="auto"/>
    </w:pPr>
    <w:rPr>
      <w:sz w:val="20"/>
      <w:szCs w:val="20"/>
    </w:rPr>
  </w:style>
  <w:style w:type="character" w:customStyle="1" w:styleId="CommentTextChar">
    <w:name w:val="Comment Text Char"/>
    <w:basedOn w:val="DefaultParagraphFont"/>
    <w:link w:val="CommentText"/>
    <w:uiPriority w:val="99"/>
    <w:semiHidden/>
    <w:rsid w:val="00222E54"/>
    <w:rPr>
      <w:sz w:val="20"/>
      <w:szCs w:val="20"/>
    </w:rPr>
  </w:style>
  <w:style w:type="paragraph" w:styleId="CommentSubject">
    <w:name w:val="annotation subject"/>
    <w:basedOn w:val="CommentText"/>
    <w:next w:val="CommentText"/>
    <w:link w:val="CommentSubjectChar"/>
    <w:uiPriority w:val="99"/>
    <w:semiHidden/>
    <w:unhideWhenUsed/>
    <w:rsid w:val="00222E54"/>
    <w:rPr>
      <w:b/>
      <w:bCs/>
    </w:rPr>
  </w:style>
  <w:style w:type="character" w:customStyle="1" w:styleId="CommentSubjectChar">
    <w:name w:val="Comment Subject Char"/>
    <w:basedOn w:val="CommentTextChar"/>
    <w:link w:val="CommentSubject"/>
    <w:uiPriority w:val="99"/>
    <w:semiHidden/>
    <w:rsid w:val="00222E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389975">
      <w:bodyDiv w:val="1"/>
      <w:marLeft w:val="0"/>
      <w:marRight w:val="0"/>
      <w:marTop w:val="0"/>
      <w:marBottom w:val="0"/>
      <w:divBdr>
        <w:top w:val="none" w:sz="0" w:space="0" w:color="auto"/>
        <w:left w:val="none" w:sz="0" w:space="0" w:color="auto"/>
        <w:bottom w:val="none" w:sz="0" w:space="0" w:color="auto"/>
        <w:right w:val="none" w:sz="0" w:space="0" w:color="auto"/>
      </w:divBdr>
    </w:div>
    <w:div w:id="197579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250F5-9658-456A-B74C-9D4514849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Singh, Navraj</dc:creator>
  <cp:lastModifiedBy>Louis Crous</cp:lastModifiedBy>
  <cp:revision>3</cp:revision>
  <cp:lastPrinted>2014-07-29T16:37:00Z</cp:lastPrinted>
  <dcterms:created xsi:type="dcterms:W3CDTF">2020-04-08T02:18:00Z</dcterms:created>
  <dcterms:modified xsi:type="dcterms:W3CDTF">2020-04-14T14:35:00Z</dcterms:modified>
</cp:coreProperties>
</file>